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tblInd w:w="-709" w:type="dxa"/>
        <w:tblBorders>
          <w:insideH w:val="single" w:sz="4" w:space="0" w:color="auto"/>
        </w:tblBorders>
        <w:tblLayout w:type="fixed"/>
        <w:tblLook w:val="0000" w:firstRow="0" w:lastRow="0" w:firstColumn="0" w:lastColumn="0" w:noHBand="0" w:noVBand="0"/>
      </w:tblPr>
      <w:tblGrid>
        <w:gridCol w:w="4645"/>
        <w:gridCol w:w="5670"/>
      </w:tblGrid>
      <w:tr w:rsidR="00B51C5D" w:rsidRPr="003C34CA" w14:paraId="22A63DD5" w14:textId="77777777" w:rsidTr="00B51C5D">
        <w:tc>
          <w:tcPr>
            <w:tcW w:w="4645" w:type="dxa"/>
          </w:tcPr>
          <w:p w14:paraId="0B765EFC" w14:textId="42B8B7DF" w:rsidR="00E42D6C" w:rsidRPr="00B51C5D" w:rsidRDefault="00EB309D" w:rsidP="00A517E5">
            <w:pPr>
              <w:jc w:val="center"/>
              <w:rPr>
                <w:b/>
                <w:bCs/>
                <w:sz w:val="26"/>
                <w:szCs w:val="26"/>
              </w:rPr>
            </w:pPr>
            <w:r>
              <w:rPr>
                <w:b/>
                <w:bCs/>
                <w:sz w:val="26"/>
                <w:szCs w:val="26"/>
              </w:rPr>
              <w:t>BỘ TƯ PHÁP</w:t>
            </w:r>
          </w:p>
          <w:p w14:paraId="5726B380" w14:textId="77777777" w:rsidR="00B51C5D" w:rsidRPr="003C34CA" w:rsidRDefault="00B51C5D" w:rsidP="00C80FD8">
            <w:pPr>
              <w:jc w:val="center"/>
              <w:rPr>
                <w:b/>
                <w:bCs/>
                <w:sz w:val="26"/>
                <w:szCs w:val="26"/>
                <w:vertAlign w:val="superscript"/>
              </w:rPr>
            </w:pPr>
            <w:r w:rsidRPr="003C34CA">
              <w:rPr>
                <w:bCs/>
                <w:sz w:val="26"/>
                <w:szCs w:val="26"/>
                <w:vertAlign w:val="superscript"/>
              </w:rPr>
              <w:t>_____________</w:t>
            </w:r>
          </w:p>
          <w:p w14:paraId="02C11A0F" w14:textId="77777777" w:rsidR="00B51C5D" w:rsidRPr="003C34CA" w:rsidRDefault="00B51C5D" w:rsidP="00C80FD8">
            <w:pPr>
              <w:jc w:val="center"/>
              <w:rPr>
                <w:b/>
                <w:bCs/>
                <w:sz w:val="26"/>
                <w:szCs w:val="26"/>
                <w:vertAlign w:val="superscript"/>
              </w:rPr>
            </w:pPr>
          </w:p>
          <w:p w14:paraId="45115BC9" w14:textId="047C1871" w:rsidR="00B51C5D" w:rsidRPr="003C34CA" w:rsidRDefault="00B51C5D" w:rsidP="00C80FD8">
            <w:pPr>
              <w:jc w:val="center"/>
              <w:rPr>
                <w:b/>
                <w:sz w:val="26"/>
              </w:rPr>
            </w:pPr>
            <w:r w:rsidRPr="003C34CA">
              <w:rPr>
                <w:sz w:val="26"/>
              </w:rPr>
              <w:t xml:space="preserve">Số: </w:t>
            </w:r>
            <w:r>
              <w:rPr>
                <w:sz w:val="26"/>
              </w:rPr>
              <w:t xml:space="preserve">   </w:t>
            </w:r>
            <w:r w:rsidRPr="003C34CA">
              <w:rPr>
                <w:sz w:val="26"/>
              </w:rPr>
              <w:t xml:space="preserve">     /</w:t>
            </w:r>
            <w:r w:rsidR="004B5344">
              <w:rPr>
                <w:sz w:val="26"/>
              </w:rPr>
              <w:t>TTr-</w:t>
            </w:r>
            <w:r w:rsidR="00EB309D">
              <w:rPr>
                <w:sz w:val="26"/>
              </w:rPr>
              <w:t>BTP</w:t>
            </w:r>
          </w:p>
          <w:p w14:paraId="45FAF98D" w14:textId="77777777" w:rsidR="00B51C5D" w:rsidRPr="00E34324" w:rsidRDefault="00B51C5D" w:rsidP="00E34324">
            <w:pPr>
              <w:jc w:val="center"/>
              <w:rPr>
                <w:spacing w:val="-6"/>
                <w:sz w:val="24"/>
                <w:szCs w:val="26"/>
              </w:rPr>
            </w:pPr>
          </w:p>
        </w:tc>
        <w:tc>
          <w:tcPr>
            <w:tcW w:w="5670" w:type="dxa"/>
          </w:tcPr>
          <w:p w14:paraId="4844644C" w14:textId="77777777" w:rsidR="00B51C5D" w:rsidRPr="003C34CA" w:rsidRDefault="00B51C5D" w:rsidP="00C80FD8">
            <w:pPr>
              <w:pStyle w:val="Default"/>
              <w:rPr>
                <w:sz w:val="26"/>
                <w:szCs w:val="26"/>
              </w:rPr>
            </w:pPr>
            <w:r w:rsidRPr="003C34CA">
              <w:rPr>
                <w:b/>
                <w:bCs/>
                <w:sz w:val="26"/>
                <w:szCs w:val="26"/>
              </w:rPr>
              <w:t xml:space="preserve">CỘNG HOÀ XÃ HỘI CHỦ NGHĨA VIỆT NAM </w:t>
            </w:r>
          </w:p>
          <w:p w14:paraId="02C89BCB" w14:textId="77777777" w:rsidR="00B51C5D" w:rsidRPr="003C34CA" w:rsidRDefault="00B51C5D" w:rsidP="00C80FD8">
            <w:pPr>
              <w:pStyle w:val="Default"/>
              <w:jc w:val="center"/>
              <w:rPr>
                <w:sz w:val="28"/>
                <w:szCs w:val="28"/>
              </w:rPr>
            </w:pPr>
            <w:r w:rsidRPr="003C34CA">
              <w:rPr>
                <w:b/>
                <w:bCs/>
                <w:sz w:val="28"/>
                <w:szCs w:val="28"/>
              </w:rPr>
              <w:t>Độc lập - Tự do - Hạnh phúc</w:t>
            </w:r>
          </w:p>
          <w:p w14:paraId="650D689A" w14:textId="77777777" w:rsidR="00B51C5D" w:rsidRPr="003C34CA" w:rsidRDefault="00B51C5D" w:rsidP="00C80FD8">
            <w:pPr>
              <w:pStyle w:val="Default"/>
              <w:rPr>
                <w:sz w:val="13"/>
                <w:szCs w:val="13"/>
              </w:rPr>
            </w:pPr>
            <w:r w:rsidRPr="003C34CA">
              <w:rPr>
                <w:b/>
                <w:bCs/>
                <w:sz w:val="13"/>
                <w:szCs w:val="13"/>
              </w:rPr>
              <w:t xml:space="preserve">                                ___________________________________________________ </w:t>
            </w:r>
          </w:p>
          <w:p w14:paraId="4E72BC15" w14:textId="7A7DD6DD" w:rsidR="00B51C5D" w:rsidRPr="003C34CA" w:rsidRDefault="00B51C5D" w:rsidP="00C80FD8">
            <w:pPr>
              <w:pStyle w:val="Default"/>
              <w:spacing w:before="120"/>
              <w:jc w:val="center"/>
              <w:rPr>
                <w:sz w:val="26"/>
                <w:szCs w:val="26"/>
              </w:rPr>
            </w:pPr>
            <w:r w:rsidRPr="003C34CA">
              <w:rPr>
                <w:i/>
                <w:iCs/>
                <w:sz w:val="26"/>
                <w:szCs w:val="26"/>
              </w:rPr>
              <w:t xml:space="preserve">  Hà Nội, ngày     tháng </w:t>
            </w:r>
            <w:r w:rsidR="00F021DA">
              <w:rPr>
                <w:i/>
                <w:iCs/>
                <w:sz w:val="26"/>
                <w:szCs w:val="26"/>
              </w:rPr>
              <w:t xml:space="preserve">  </w:t>
            </w:r>
            <w:r w:rsidRPr="003C34CA">
              <w:rPr>
                <w:i/>
                <w:iCs/>
                <w:sz w:val="26"/>
                <w:szCs w:val="26"/>
              </w:rPr>
              <w:t xml:space="preserve">  năm 202</w:t>
            </w:r>
            <w:r w:rsidR="00356735">
              <w:rPr>
                <w:i/>
                <w:iCs/>
                <w:sz w:val="26"/>
                <w:szCs w:val="26"/>
              </w:rPr>
              <w:t>6</w:t>
            </w:r>
          </w:p>
        </w:tc>
      </w:tr>
    </w:tbl>
    <w:p w14:paraId="5E9EE3CD" w14:textId="77777777" w:rsidR="004B5344" w:rsidRPr="004B5344" w:rsidRDefault="004B5344" w:rsidP="004B5344">
      <w:pPr>
        <w:suppressAutoHyphens/>
        <w:jc w:val="center"/>
        <w:rPr>
          <w:b/>
          <w:sz w:val="32"/>
          <w:szCs w:val="32"/>
          <w:lang w:eastAsia="zh-CN"/>
        </w:rPr>
      </w:pPr>
      <w:r w:rsidRPr="004B5344">
        <w:rPr>
          <w:b/>
          <w:sz w:val="32"/>
          <w:szCs w:val="32"/>
          <w:lang w:eastAsia="zh-CN"/>
        </w:rPr>
        <w:t xml:space="preserve">TỜ TRÌNH </w:t>
      </w:r>
    </w:p>
    <w:p w14:paraId="4AE48150" w14:textId="77777777" w:rsidR="00AC0005" w:rsidRDefault="006C3FE2" w:rsidP="004B5344">
      <w:pPr>
        <w:widowControl w:val="0"/>
        <w:shd w:val="clear" w:color="auto" w:fill="FFFFFF"/>
        <w:suppressAutoHyphens/>
        <w:jc w:val="center"/>
        <w:rPr>
          <w:b/>
          <w:sz w:val="30"/>
          <w:szCs w:val="30"/>
          <w:lang w:eastAsia="zh-CN"/>
        </w:rPr>
      </w:pPr>
      <w:r>
        <w:rPr>
          <w:b/>
          <w:sz w:val="30"/>
          <w:szCs w:val="30"/>
          <w:lang w:eastAsia="zh-CN"/>
        </w:rPr>
        <w:t>D</w:t>
      </w:r>
      <w:r w:rsidR="004B5344" w:rsidRPr="004B5344">
        <w:rPr>
          <w:b/>
          <w:sz w:val="30"/>
          <w:szCs w:val="30"/>
          <w:lang w:eastAsia="zh-CN"/>
        </w:rPr>
        <w:t xml:space="preserve">ự thảo Nghị định </w:t>
      </w:r>
      <w:r w:rsidR="00AC0005">
        <w:rPr>
          <w:b/>
          <w:sz w:val="30"/>
          <w:szCs w:val="30"/>
          <w:lang w:eastAsia="zh-CN"/>
        </w:rPr>
        <w:t xml:space="preserve">thay thế Nghị định 63/2010/NĐ-CP </w:t>
      </w:r>
    </w:p>
    <w:p w14:paraId="10961DFF" w14:textId="344B6167" w:rsidR="004B5344" w:rsidRPr="004B5344" w:rsidRDefault="00565E1C" w:rsidP="004B5344">
      <w:pPr>
        <w:widowControl w:val="0"/>
        <w:shd w:val="clear" w:color="auto" w:fill="FFFFFF"/>
        <w:suppressAutoHyphens/>
        <w:jc w:val="center"/>
        <w:rPr>
          <w:b/>
          <w:lang w:eastAsia="zh-CN"/>
        </w:rPr>
      </w:pPr>
      <w:r>
        <w:rPr>
          <w:b/>
          <w:sz w:val="30"/>
          <w:szCs w:val="30"/>
          <w:lang w:eastAsia="zh-CN"/>
        </w:rPr>
        <w:t xml:space="preserve">về </w:t>
      </w:r>
      <w:r w:rsidR="00AD5F51" w:rsidRPr="0001012D">
        <w:rPr>
          <w:b/>
          <w:bCs/>
        </w:rPr>
        <w:t>kiểm soát thủ tục hành chính</w:t>
      </w:r>
      <w:r>
        <w:rPr>
          <w:b/>
          <w:bCs/>
        </w:rPr>
        <w:t xml:space="preserve"> </w:t>
      </w:r>
    </w:p>
    <w:p w14:paraId="6A09700A" w14:textId="77777777" w:rsidR="004B5344" w:rsidRPr="004B5344" w:rsidRDefault="004B5344" w:rsidP="004B5344">
      <w:pPr>
        <w:suppressAutoHyphens/>
        <w:jc w:val="center"/>
        <w:rPr>
          <w:sz w:val="10"/>
          <w:szCs w:val="10"/>
          <w:lang w:eastAsia="zh-CN"/>
        </w:rPr>
      </w:pPr>
    </w:p>
    <w:p w14:paraId="071C1683" w14:textId="77777777" w:rsidR="004B5344" w:rsidRPr="004B5344" w:rsidRDefault="004B5344" w:rsidP="004B5344">
      <w:pPr>
        <w:suppressAutoHyphens/>
        <w:jc w:val="center"/>
        <w:rPr>
          <w:lang w:eastAsia="zh-CN"/>
        </w:rPr>
      </w:pPr>
      <w:r w:rsidRPr="004B5344">
        <w:rPr>
          <w:noProof/>
        </w:rPr>
        <mc:AlternateContent>
          <mc:Choice Requires="wps">
            <w:drawing>
              <wp:anchor distT="0" distB="0" distL="114300" distR="114300" simplePos="0" relativeHeight="251659264" behindDoc="0" locked="0" layoutInCell="1" allowOverlap="1" wp14:anchorId="67FD94A0" wp14:editId="063BB796">
                <wp:simplePos x="0" y="0"/>
                <wp:positionH relativeFrom="margin">
                  <wp:posOffset>1763395</wp:posOffset>
                </wp:positionH>
                <wp:positionV relativeFrom="paragraph">
                  <wp:posOffset>22860</wp:posOffset>
                </wp:positionV>
                <wp:extent cx="2212340" cy="0"/>
                <wp:effectExtent l="12700" t="12700" r="10160" b="12700"/>
                <wp:wrapNone/>
                <wp:docPr id="14847811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23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F388B48" id="Line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8.85pt,1.8pt" to="313.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j2kgIAAGoFAAAOAAAAZHJzL2Uyb0RvYy54bWysVMtu2zAQvBfoPxC8K3pYtmQhcpDIci9p&#10;GyAteqZFyiJKkSrJWA6K/nuXtK3U6aUoYgMCH8vh7M4sr28OvUB7pg1XssTxVYQRk42iXO5K/PXL&#10;JsgxMpZISoSSrMTPzOCb1ft31+NQsER1SlCmEYBIU4xDiTtrhyIMTdOxnpgrNTAJm63SPbEw1buQ&#10;ajICei/CJIoW4ag0HbRqmDGwuj5u4pXHb1vW2M9ta5hFosTAzfqv9t+t+4ara1LsNBk63pxokP9g&#10;0RMu4dIJak0sQU+a/wXV80Yro1p71ag+VG3LG+ZzgGzi6FU2jx0ZmM8FimOGqUzm7WCbT/sHjTgF&#10;7dI8zfI4TjKMJOlBq3suGUpcicbBFBBZyQftkmwO8nG4V813A3vhxaabmAEgt+NHRQGEPFnlK3No&#10;de8OQ87o4AV4ngRgB4saWEySOJmloFNz3gtJcT44aGM/MNUjNyixAHYemOzvjXVESHEOcfdIteFC&#10;eH2FRGOJl7OFQybgMvPDnzRKcOqiXLzRu20lNNoTZxX/c6kD6kVYzy0YVvC+xPkURIqOEVpL6q+z&#10;hIvjGA4L6cCZt+KRJ8wOFoZ+HRL3Nvm5jJZ1XudpkCaLOkij9Tq43VRpsNjE2Xw9W1fVOv7lWMdp&#10;0XFKmXTEz5aN03+zxKl5jmabTDuVKrxE99kD2Uumt5t5lKWzPMiy+SxIZ3UU3OWbKrit4sUiq++q&#10;u/oV09pnb96G7FRKx0o9gRqPHR0R5c4Us/kyiTFMoMWT7KgPImIHb1NjNUZa2W/cdr6xnPscxoXw&#10;eeT+J+En9GMhzhq62aTCKbeXUoHmZ319a7huOHbQVtHnB+085boEGtofOj0+7sX4c+6jXp7I1W8A&#10;AAD//wMAUEsDBBQABgAIAAAAIQB20Q4H3QAAAAcBAAAPAAAAZHJzL2Rvd25yZXYueG1sTI5RS8Mw&#10;FIXfhf2HcAVfZEvXjVa6pkME8UGQbcpkb1lzbcqam5Jka/33xr3o4+EcvvOV69F07ILOt5YEzGcJ&#10;MKTaqpYaAR/vz9MHYD5IUrKzhAK+0cO6mtyUslB2oC1edqFhEUK+kAJ0CH3Bua81GulntkeK3Zd1&#10;RoYYXcOVk0OEm46nSZJxI1uKD1r2+KSxPu3ORsCbG1ofFsvlBsNh//L6qTf3ZivE3e34uAIWcAx/&#10;Y/jVj+pQRaejPZPyrBOQ5nkepwIWGbDYZ2k2B3a8Zl6V/L9/9QMAAP//AwBQSwECLQAUAAYACAAA&#10;ACEAtoM4kv4AAADhAQAAEwAAAAAAAAAAAAAAAAAAAAAAW0NvbnRlbnRfVHlwZXNdLnhtbFBLAQIt&#10;ABQABgAIAAAAIQA4/SH/1gAAAJQBAAALAAAAAAAAAAAAAAAAAC8BAABfcmVscy8ucmVsc1BLAQIt&#10;ABQABgAIAAAAIQBcKUj2kgIAAGoFAAAOAAAAAAAAAAAAAAAAAC4CAABkcnMvZTJvRG9jLnhtbFBL&#10;AQItABQABgAIAAAAIQB20Q4H3QAAAAcBAAAPAAAAAAAAAAAAAAAAAOwEAABkcnMvZG93bnJldi54&#10;bWxQSwUGAAAAAAQABADzAAAA9gUAAAAA&#10;" strokeweight=".26mm">
                <v:stroke joinstyle="miter" endcap="square"/>
                <o:lock v:ext="edit" shapetype="f"/>
                <w10:wrap anchorx="margin"/>
              </v:line>
            </w:pict>
          </mc:Fallback>
        </mc:AlternateContent>
      </w:r>
    </w:p>
    <w:p w14:paraId="5B986220" w14:textId="77777777" w:rsidR="004B5344" w:rsidRPr="004B5344" w:rsidRDefault="004B5344" w:rsidP="004B5344">
      <w:pPr>
        <w:suppressAutoHyphens/>
        <w:spacing w:after="240" w:line="240" w:lineRule="atLeast"/>
        <w:jc w:val="center"/>
        <w:rPr>
          <w:bCs/>
          <w:color w:val="000000"/>
          <w:lang w:eastAsia="zh-CN"/>
        </w:rPr>
      </w:pPr>
      <w:r w:rsidRPr="004B5344">
        <w:rPr>
          <w:lang w:eastAsia="zh-CN"/>
        </w:rPr>
        <w:t>Kính gửi:  Chính phủ</w:t>
      </w:r>
    </w:p>
    <w:p w14:paraId="7FF94AD9" w14:textId="3BF11174" w:rsidR="004B5344" w:rsidRPr="00565E1C" w:rsidRDefault="002D643D" w:rsidP="00565E1C">
      <w:pPr>
        <w:suppressAutoHyphens/>
        <w:spacing w:before="120" w:after="120" w:line="288" w:lineRule="auto"/>
        <w:ind w:firstLine="567"/>
        <w:jc w:val="both"/>
        <w:rPr>
          <w:bCs/>
          <w:color w:val="000000"/>
          <w:lang w:eastAsia="zh-CN"/>
        </w:rPr>
      </w:pPr>
      <w:r w:rsidRPr="00565E1C">
        <w:rPr>
          <w:iCs/>
        </w:rPr>
        <w:t>Thực hiện chủ trương, định hướng của Đảng về triển khai các nhiệm vụ bảo đảm tổ chức bộ máy của đơn vị hành chính 02 cấp hoạt động thông suốt, hiệu quả</w:t>
      </w:r>
      <w:r w:rsidRPr="00565E1C">
        <w:rPr>
          <w:shd w:val="clear" w:color="auto" w:fill="FFFFFF"/>
        </w:rPr>
        <w:t xml:space="preserve">, căn cứ </w:t>
      </w:r>
      <w:r w:rsidRPr="00565E1C">
        <w:t>Luật Ban hành văn bản quy phạm pháp luật số 64/2025/QH15</w:t>
      </w:r>
      <w:r w:rsidR="007B31A8" w:rsidRPr="00565E1C">
        <w:t xml:space="preserve">, </w:t>
      </w:r>
      <w:r w:rsidR="00234D94" w:rsidRPr="00565E1C">
        <w:rPr>
          <w:shd w:val="clear" w:color="auto" w:fill="FFFFFF"/>
          <w:lang w:val="en"/>
        </w:rPr>
        <w:t>thực hiện ý kiến chỉ đạo của Phó Thủ tướng Chính phủ Phạm Thị Thanh Trà tại Công văn số 12778/VPCP-KSTT ngày 26/12/2025 của Văn phòng Chính phủ về việc giao Bộ Tư pháp nghiên cứu, xây dựng Nghị định thay thế các Nghị định về kiểm soát thủ tục hành chính, trình Chính phủ trong Quý II năm 2026 để bảo đảm phù hợp với quy định của Luật Ban hành văn bản quy phạm pháp luật, Luật Tổ chức chính quyền địa phương và bảo đảm triển khai thống nhất, toàn diện sau khi chuyển chức năng, nhiệm vụ kiểm soát TTHC từ Văn phòng Chính phủ sang Bộ Tư pháp</w:t>
      </w:r>
      <w:r w:rsidR="00234D94" w:rsidRPr="00565E1C">
        <w:t xml:space="preserve">, </w:t>
      </w:r>
      <w:r w:rsidR="007B31A8" w:rsidRPr="00565E1C">
        <w:t>Bộ Tư pháp</w:t>
      </w:r>
      <w:r w:rsidR="004B5344" w:rsidRPr="00565E1C">
        <w:rPr>
          <w:bCs/>
          <w:color w:val="000000"/>
          <w:lang w:eastAsia="zh-CN"/>
        </w:rPr>
        <w:t xml:space="preserve"> trình Chính phủ dự thảo Nghị định </w:t>
      </w:r>
      <w:r w:rsidR="007B31A8" w:rsidRPr="00565E1C">
        <w:rPr>
          <w:bCs/>
          <w:color w:val="000000"/>
          <w:lang w:eastAsia="zh-CN"/>
        </w:rPr>
        <w:t>thay thế Nghị định số 63/2010/NĐ-CP về</w:t>
      </w:r>
      <w:r w:rsidR="005F7E75" w:rsidRPr="00565E1C">
        <w:rPr>
          <w:bCs/>
          <w:color w:val="000000"/>
          <w:lang w:eastAsia="zh-CN"/>
        </w:rPr>
        <w:t xml:space="preserve"> kiểm soát thủ tục hành chính</w:t>
      </w:r>
      <w:r w:rsidR="004B5344" w:rsidRPr="00565E1C">
        <w:rPr>
          <w:bCs/>
          <w:color w:val="000000"/>
          <w:lang w:eastAsia="zh-CN"/>
        </w:rPr>
        <w:t xml:space="preserve"> như sau:   </w:t>
      </w:r>
    </w:p>
    <w:p w14:paraId="19B9763F" w14:textId="77777777" w:rsidR="004B5344" w:rsidRPr="00565E1C" w:rsidRDefault="004B5344" w:rsidP="00565E1C">
      <w:pPr>
        <w:suppressAutoHyphens/>
        <w:spacing w:before="120" w:after="120" w:line="288" w:lineRule="auto"/>
        <w:ind w:firstLine="567"/>
        <w:jc w:val="both"/>
        <w:rPr>
          <w:b/>
          <w:lang w:eastAsia="zh-CN"/>
        </w:rPr>
      </w:pPr>
      <w:r w:rsidRPr="00565E1C">
        <w:rPr>
          <w:b/>
          <w:lang w:eastAsia="zh-CN"/>
        </w:rPr>
        <w:t>I. SỰ CẦN THIẾT BAN HÀNH VĂN BẢN</w:t>
      </w:r>
    </w:p>
    <w:p w14:paraId="5BA6F502" w14:textId="77777777" w:rsidR="00AC40C8" w:rsidRDefault="004B5344" w:rsidP="00AC40C8">
      <w:pPr>
        <w:suppressAutoHyphens/>
        <w:spacing w:before="120" w:after="120" w:line="288" w:lineRule="auto"/>
        <w:ind w:firstLine="567"/>
        <w:jc w:val="both"/>
        <w:rPr>
          <w:lang w:eastAsia="zh-CN"/>
        </w:rPr>
      </w:pPr>
      <w:r w:rsidRPr="00565E1C">
        <w:rPr>
          <w:b/>
          <w:lang w:eastAsia="zh-CN"/>
        </w:rPr>
        <w:t>1. Cơ sở chính trị, pháp lý</w:t>
      </w:r>
    </w:p>
    <w:p w14:paraId="79335A00" w14:textId="0F44C0D9" w:rsidR="002D643D" w:rsidRPr="00AC40C8" w:rsidRDefault="002D643D" w:rsidP="00AC40C8">
      <w:pPr>
        <w:suppressAutoHyphens/>
        <w:spacing w:before="120" w:after="120" w:line="288" w:lineRule="auto"/>
        <w:ind w:firstLine="567"/>
        <w:jc w:val="both"/>
        <w:rPr>
          <w:lang w:eastAsia="zh-CN"/>
        </w:rPr>
      </w:pPr>
      <w:r w:rsidRPr="00565E1C">
        <w:rPr>
          <w:shd w:val="clear" w:color="auto" w:fill="FFFFFF"/>
          <w:lang w:val="en"/>
        </w:rPr>
        <w:t>Căn cứ vào chủ trương, đường lối của Đảng về tổ chức chính quyền địa phương</w:t>
      </w:r>
      <w:r w:rsidR="009D2401" w:rsidRPr="00565E1C">
        <w:rPr>
          <w:shd w:val="clear" w:color="auto" w:fill="FFFFFF"/>
          <w:lang w:val="en"/>
        </w:rPr>
        <w:t xml:space="preserve"> và tăng cường cải cách thủ tục hành chính</w:t>
      </w:r>
      <w:r w:rsidRPr="00565E1C">
        <w:rPr>
          <w:shd w:val="clear" w:color="auto" w:fill="FFFFFF"/>
          <w:lang w:val="en"/>
        </w:rPr>
        <w:t>,</w:t>
      </w:r>
      <w:r w:rsidR="009D2401" w:rsidRPr="00565E1C">
        <w:rPr>
          <w:shd w:val="clear" w:color="auto" w:fill="FFFFFF"/>
          <w:lang w:val="en"/>
        </w:rPr>
        <w:t xml:space="preserve"> nâng cao chất lượng cung cấp dịch vụ công trực tuyến hướng tới cung cấp dịch vụ công trực tuyến toàn </w:t>
      </w:r>
      <w:proofErr w:type="gramStart"/>
      <w:r w:rsidR="009D2401" w:rsidRPr="00565E1C">
        <w:rPr>
          <w:shd w:val="clear" w:color="auto" w:fill="FFFFFF"/>
          <w:lang w:val="en"/>
        </w:rPr>
        <w:t xml:space="preserve">trình, </w:t>
      </w:r>
      <w:r w:rsidRPr="00565E1C">
        <w:rPr>
          <w:shd w:val="clear" w:color="auto" w:fill="FFFFFF"/>
          <w:lang w:val="en"/>
        </w:rPr>
        <w:t xml:space="preserve"> việc</w:t>
      </w:r>
      <w:proofErr w:type="gramEnd"/>
      <w:r w:rsidRPr="00565E1C">
        <w:rPr>
          <w:shd w:val="clear" w:color="auto" w:fill="FFFFFF"/>
          <w:lang w:val="en"/>
        </w:rPr>
        <w:t xml:space="preserve"> ban hành Nghị định sửa đổi, bổ sung một số điều của các nghị định liên quan đến kiểm soát thủ tục hành chính xuất phát từ các định hướng lớn sau:</w:t>
      </w:r>
    </w:p>
    <w:p w14:paraId="680ACF7C" w14:textId="176AD9D4" w:rsidR="004B5344" w:rsidRPr="00565E1C" w:rsidRDefault="004B5344" w:rsidP="00565E1C">
      <w:pPr>
        <w:suppressAutoHyphens/>
        <w:spacing w:before="120" w:after="120" w:line="288" w:lineRule="auto"/>
        <w:ind w:firstLine="567"/>
        <w:jc w:val="both"/>
        <w:rPr>
          <w:lang w:eastAsia="zh-CN"/>
        </w:rPr>
      </w:pPr>
      <w:r w:rsidRPr="00565E1C">
        <w:rPr>
          <w:lang w:eastAsia="zh-CN"/>
        </w:rPr>
        <w:t>- Kết luận số 126-KL/TW ngày 14/02/2025 của Bộ Chính trị, Ban Bí thư về một số nội dung, nhiệm vụ tiếp tục sắp xếp, tinh gọn tổ chức bộ máy của hệ thống chính trị năm 2025;</w:t>
      </w:r>
      <w:r w:rsidRPr="00565E1C">
        <w:rPr>
          <w:i/>
          <w:lang w:eastAsia="zh-CN"/>
        </w:rPr>
        <w:t xml:space="preserve"> </w:t>
      </w:r>
      <w:r w:rsidRPr="00565E1C">
        <w:rPr>
          <w:lang w:eastAsia="zh-CN"/>
        </w:rPr>
        <w:t xml:space="preserve">Kết luận số 127-KL/TW ngày 28/02/2025 của Bộ Chính trị, Ban Bí thư về triển khai nghiên cứu, đề xuất tiếp tục sắp xếp tổ chức bộ máy của hệ thống chính trị; Kết luận số 130-KL/TW ngày 14/3/2025 của Bộ Chính trị, Ban Bí thư về chủ trương sắp xếp, tổ chức lại đơn vị hành chính các cấp và xây dựng mô hình tổ chức chính quyền địa phương 2 cấp. </w:t>
      </w:r>
    </w:p>
    <w:p w14:paraId="0F003C04" w14:textId="00636C4D" w:rsidR="00413311" w:rsidRPr="00565E1C" w:rsidRDefault="00234D94" w:rsidP="00565E1C">
      <w:pPr>
        <w:suppressAutoHyphens/>
        <w:spacing w:before="120" w:after="120" w:line="288" w:lineRule="auto"/>
        <w:ind w:firstLine="567"/>
        <w:jc w:val="both"/>
        <w:rPr>
          <w:lang w:eastAsia="zh-CN"/>
        </w:rPr>
      </w:pPr>
      <w:r w:rsidRPr="00565E1C">
        <w:rPr>
          <w:lang w:eastAsia="zh-CN"/>
        </w:rPr>
        <w:t>-</w:t>
      </w:r>
      <w:r w:rsidR="00413311" w:rsidRPr="00565E1C">
        <w:rPr>
          <w:lang w:eastAsia="zh-CN"/>
        </w:rPr>
        <w:t xml:space="preserve">Kết luận số 137-KL/TW ngày 28/3/2025 của Bộ Chính trị, Ban Bí thư về đề án sắp xếp, tổ chức lại đơn vị hành chính các cấp và xây dựng mô hình chính </w:t>
      </w:r>
      <w:r w:rsidR="00413311" w:rsidRPr="00565E1C">
        <w:rPr>
          <w:lang w:eastAsia="zh-CN"/>
        </w:rPr>
        <w:lastRenderedPageBreak/>
        <w:t xml:space="preserve">quyền địa phương 02 cấp, Quyết định số 759/QĐ-TTg của Thủ tướng Chính phủ, Công văn số 03/CV-BCĐ ngày 15/4/2025 của Ban chỉ đạo sắp xếp đơn vị hành chính các cấp và xây dựng mô hình tổ chức chính quyền địa phương 02 cấp về tổ chức bộ máy, cán bộ, công chức, viên chức khi thực hiện sắp xếp xác định: thành lập Trung tâm Phục vụ hành chính công cấp xã thay cho Bộ phận Tiếp nhận và Trả kết quả thuộc Ủy ban nhân dân cấp xã và được </w:t>
      </w:r>
      <w:r w:rsidR="0085029E" w:rsidRPr="00565E1C">
        <w:rPr>
          <w:lang w:eastAsia="zh-CN"/>
        </w:rPr>
        <w:t>Chính phủ thể chế hóa bằng</w:t>
      </w:r>
      <w:r w:rsidR="00413311" w:rsidRPr="00565E1C">
        <w:rPr>
          <w:lang w:eastAsia="zh-CN"/>
        </w:rPr>
        <w:t xml:space="preserve"> Nghị định số 118/2025/NĐ-CP ngày 09/6/2025 v</w:t>
      </w:r>
      <w:r w:rsidR="00413311" w:rsidRPr="00565E1C">
        <w:rPr>
          <w:iCs/>
          <w:color w:val="000000"/>
          <w:shd w:val="clear" w:color="auto" w:fill="FFFFFF"/>
        </w:rPr>
        <w:t>ề thực hiện thủ tục hành chính theo cơ chế một cửa, một cửa liên thông tại Bộ phận Một cửa và Cổng Dịch vụ công quốc gia</w:t>
      </w:r>
      <w:r w:rsidR="00413311" w:rsidRPr="00565E1C">
        <w:rPr>
          <w:lang w:eastAsia="zh-CN"/>
        </w:rPr>
        <w:t xml:space="preserve">. </w:t>
      </w:r>
    </w:p>
    <w:p w14:paraId="2DF0685F" w14:textId="6BE97A79" w:rsidR="00E14B6B" w:rsidRPr="00565E1C" w:rsidRDefault="00E14B6B" w:rsidP="00565E1C">
      <w:pPr>
        <w:spacing w:before="120" w:after="120" w:line="288" w:lineRule="auto"/>
        <w:ind w:firstLine="567"/>
        <w:jc w:val="both"/>
        <w:rPr>
          <w:i/>
        </w:rPr>
      </w:pPr>
      <w:r w:rsidRPr="00565E1C">
        <w:rPr>
          <w:iCs/>
        </w:rPr>
        <w:t>- Kết luận số 195-KL/TW ngày 26/9/2025 của Bộ Chính trị, Ban Bí thư về tình hình, kết quả hoạt động của bộ máy hệ thống chính trị và chính quyền địa phương 2 cấp</w:t>
      </w:r>
      <w:r w:rsidRPr="00565E1C">
        <w:rPr>
          <w:i/>
        </w:rPr>
        <w:t>.</w:t>
      </w:r>
    </w:p>
    <w:p w14:paraId="66A7EF57" w14:textId="77777777" w:rsidR="00E14B6B" w:rsidRPr="00565E1C" w:rsidRDefault="00E14B6B" w:rsidP="00565E1C">
      <w:pPr>
        <w:spacing w:before="120" w:after="120" w:line="288" w:lineRule="auto"/>
        <w:ind w:firstLine="567"/>
        <w:jc w:val="both"/>
        <w:rPr>
          <w:iCs/>
        </w:rPr>
      </w:pPr>
      <w:r w:rsidRPr="00565E1C">
        <w:rPr>
          <w:iCs/>
        </w:rPr>
        <w:t xml:space="preserve">- Nghị quyết số 27-NQ/TW ngày 09/11/2022 của Ban Chấp hành Trung ương yêu cầu hoàn thiện hệ thống pháp luật, đơn giản hóa thủ tục hành chính, nâng cao hiệu lực, hiệu quả quản trị quốc gia. </w:t>
      </w:r>
    </w:p>
    <w:p w14:paraId="32AA37E5" w14:textId="77777777" w:rsidR="00E14B6B" w:rsidRPr="00565E1C" w:rsidRDefault="00E14B6B" w:rsidP="00565E1C">
      <w:pPr>
        <w:spacing w:before="120" w:after="120" w:line="288" w:lineRule="auto"/>
        <w:ind w:firstLine="567"/>
        <w:jc w:val="both"/>
        <w:rPr>
          <w:i/>
          <w:spacing w:val="-4"/>
        </w:rPr>
      </w:pPr>
      <w:r w:rsidRPr="00565E1C">
        <w:t>- Nghị quyết số 66-NQ/TW ngày 30/4/2025 của Bộ Chính trị về đổi mới công tác xây dựng và thi hành pháp luật đáp ứng yêu cầu phát triển đất nước trong kỷ nguyên mới nêu rõ: “</w:t>
      </w:r>
      <w:r w:rsidRPr="00565E1C">
        <w:rPr>
          <w:i/>
        </w:rPr>
        <w:t xml:space="preserve">xây dựng môi trường pháp lý thuận lợi, thông thoáng, minh bạch, an toàn, chi phí tuân thủ thấp; triệt để cắt giảm, đơn </w:t>
      </w:r>
      <w:r w:rsidRPr="00565E1C">
        <w:rPr>
          <w:i/>
          <w:spacing w:val="-4"/>
        </w:rPr>
        <w:t xml:space="preserve">giản hóa đầu kiện đầu tư, kinh doanh, hành nghề, thủ tục hành chính bất hợp </w:t>
      </w:r>
      <w:proofErr w:type="gramStart"/>
      <w:r w:rsidRPr="00565E1C">
        <w:rPr>
          <w:i/>
          <w:spacing w:val="-4"/>
        </w:rPr>
        <w:t>lý;…</w:t>
      </w:r>
      <w:proofErr w:type="gramEnd"/>
      <w:r w:rsidRPr="00565E1C">
        <w:rPr>
          <w:i/>
          <w:spacing w:val="-4"/>
        </w:rPr>
        <w:t>”.</w:t>
      </w:r>
    </w:p>
    <w:p w14:paraId="6BC6948C" w14:textId="7B8A6B5A" w:rsidR="00E14B6B" w:rsidRPr="00565E1C" w:rsidRDefault="00E14B6B" w:rsidP="00565E1C">
      <w:pPr>
        <w:widowControl w:val="0"/>
        <w:autoSpaceDE w:val="0"/>
        <w:autoSpaceDN w:val="0"/>
        <w:adjustRightInd w:val="0"/>
        <w:spacing w:before="120" w:after="120" w:line="288" w:lineRule="auto"/>
        <w:ind w:firstLine="567"/>
        <w:jc w:val="both"/>
        <w:rPr>
          <w:i/>
          <w:iCs/>
        </w:rPr>
      </w:pPr>
      <w:r w:rsidRPr="00565E1C">
        <w:t>- Nghị quyết số 68-NQ/TW ngày 04/5/2025 của Bộ Chính trị về phát triển kinh tế tư nhân yêu cầu: “</w:t>
      </w:r>
      <w:r w:rsidRPr="00565E1C">
        <w:rPr>
          <w:i/>
          <w:iCs/>
        </w:rPr>
        <w:t>hoàn thành việc rà soát, loại bỏ những điều kiện kinh doanh không cần thiết, quy định chồng chéo, không phù hợp, cản trở sự phát triển của doanh nghiệp tư nhân; thực hiện cắt giảm ít nhất 30% thời gian xử lý TTHC, ít nhất 30% chi phí tuân thủ pháp luật, ít nhất 30% điều kiện kinh doanh và tiếp tục cắt giảm mạnh trong những năm tiếp theo. Triển khai mạnh mẽ việc cung cấp dịch vụ công cho doanh nghiệp không phụ thuộc vào địa giới hành chính”.</w:t>
      </w:r>
      <w:r w:rsidRPr="00565E1C">
        <w:t xml:space="preserve"> </w:t>
      </w:r>
    </w:p>
    <w:p w14:paraId="01C6B3DF" w14:textId="7420018F" w:rsidR="004B5344" w:rsidRPr="00565E1C" w:rsidRDefault="004B5344" w:rsidP="00565E1C">
      <w:pPr>
        <w:suppressAutoHyphens/>
        <w:spacing w:before="120" w:after="120" w:line="288" w:lineRule="auto"/>
        <w:ind w:firstLine="567"/>
        <w:jc w:val="both"/>
        <w:rPr>
          <w:lang w:eastAsia="zh-CN"/>
        </w:rPr>
      </w:pPr>
      <w:r w:rsidRPr="00565E1C">
        <w:rPr>
          <w:lang w:eastAsia="zh-CN"/>
        </w:rPr>
        <w:t>- Nghị quyết số 57-NQ/TW ngày 22/12/2024 của Bộ Chính trị về đột phá phát triển khoa học, công nghệ, đổi mới sáng tạo và chuyển đổi số quốc gia xác định: “</w:t>
      </w:r>
      <w:r w:rsidRPr="00565E1C">
        <w:rPr>
          <w:i/>
          <w:lang w:eastAsia="zh-CN"/>
        </w:rPr>
        <w:t xml:space="preserve"> Đổi mới toàn diện việc giải quyết </w:t>
      </w:r>
      <w:r w:rsidR="00A30D5B" w:rsidRPr="00565E1C">
        <w:rPr>
          <w:i/>
          <w:lang w:eastAsia="zh-CN"/>
        </w:rPr>
        <w:t>thủ tục hành chính</w:t>
      </w:r>
      <w:r w:rsidRPr="00565E1C">
        <w:rPr>
          <w:i/>
          <w:lang w:eastAsia="zh-CN"/>
        </w:rPr>
        <w:t>,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r w:rsidRPr="00565E1C">
        <w:rPr>
          <w:lang w:eastAsia="zh-CN"/>
        </w:rPr>
        <w:t xml:space="preserve">”. </w:t>
      </w:r>
    </w:p>
    <w:p w14:paraId="0AE8CD67" w14:textId="663F077B" w:rsidR="00E14B6B" w:rsidRDefault="00E14B6B" w:rsidP="00565E1C">
      <w:pPr>
        <w:pStyle w:val="NormalWeb"/>
        <w:shd w:val="clear" w:color="auto" w:fill="FFFFFF"/>
        <w:spacing w:after="120" w:line="288" w:lineRule="auto"/>
        <w:ind w:firstLine="567"/>
        <w:rPr>
          <w:rFonts w:eastAsia="Calibri"/>
          <w:iCs/>
        </w:rPr>
      </w:pPr>
      <w:r w:rsidRPr="00565E1C">
        <w:rPr>
          <w:rFonts w:eastAsia="Calibri"/>
          <w:iCs/>
        </w:rPr>
        <w:lastRenderedPageBreak/>
        <w:t>- Kết luận số 18-KL/TW ngày 02/4/2026 của Ban Chấp hành Trung ương khóa XIV về Kế hoạch phát triển kinh tế - xã hội, tài chính quốc gia và vay, trả nợ công, đầu tư công trung hạn 5 năm 2026 - 2030 gắn với thực hiện mục tiêu phấn đấu tăng trưởng “2 con số”.</w:t>
      </w:r>
    </w:p>
    <w:p w14:paraId="1B0EF23F" w14:textId="05698A1B" w:rsidR="00005772" w:rsidRPr="00005772" w:rsidRDefault="00005772" w:rsidP="00005772">
      <w:pPr>
        <w:pStyle w:val="NormalWeb"/>
        <w:shd w:val="clear" w:color="auto" w:fill="FFFFFF"/>
        <w:spacing w:after="120" w:line="288" w:lineRule="auto"/>
        <w:ind w:firstLine="567"/>
        <w:rPr>
          <w:rFonts w:eastAsia="Calibri"/>
          <w:bCs w:val="0"/>
          <w:iCs/>
          <w:noProof/>
          <w:lang w:val="vi-VN"/>
        </w:rPr>
      </w:pPr>
      <w:r w:rsidRPr="00B819BA">
        <w:t>-Kết luận số 09-KL/TW ngày 10/3/2026 của Bộ Chính trị về hoàn thiện cấu trúc hệ thống pháp luật Việt Nam đáp ứng yêu cầu phát triển đất nước trong kỷ nguyên mới.</w:t>
      </w:r>
    </w:p>
    <w:p w14:paraId="44D02E6B" w14:textId="23687887" w:rsidR="005F7E75" w:rsidRPr="00565E1C" w:rsidRDefault="005F7E75" w:rsidP="00565E1C">
      <w:pPr>
        <w:spacing w:before="120" w:after="120" w:line="288" w:lineRule="auto"/>
        <w:ind w:firstLine="567"/>
        <w:jc w:val="both"/>
        <w:rPr>
          <w:lang w:val="vi-VN"/>
        </w:rPr>
      </w:pPr>
      <w:bookmarkStart w:id="0" w:name="_Hlk213331504"/>
      <w:r w:rsidRPr="00565E1C">
        <w:rPr>
          <w:lang w:val="vi-VN"/>
        </w:rPr>
        <w:t xml:space="preserve">- </w:t>
      </w:r>
      <w:r w:rsidRPr="00565E1C">
        <w:rPr>
          <w:color w:val="000000"/>
          <w:shd w:val="clear" w:color="auto" w:fill="FFFFFF"/>
          <w:lang w:val="vi-VN"/>
        </w:rPr>
        <w:t>Luật Ban hành văn bản quy phạm pháp luật năm 2025 quy định: “</w:t>
      </w:r>
      <w:r w:rsidRPr="00565E1C">
        <w:rPr>
          <w:i/>
          <w:color w:val="000000"/>
        </w:rPr>
        <w:t>Chính phủ ban hành Nghị định quy định các biện pháp cụ thể để tổ chức, hướng dẫn thi hành luật, nghị quyết của Quốc hội, pháp lệnh, nghị quyết của Ủy ban Thường vụ Quốc hội… và các vấn đề khác thuộc thẩm quyền quản lý, điều hành của Chính phủ</w:t>
      </w:r>
      <w:r w:rsidRPr="00565E1C">
        <w:rPr>
          <w:color w:val="000000"/>
          <w:lang w:val="vi-VN"/>
        </w:rPr>
        <w:t>” (khoản 1 Điều 1</w:t>
      </w:r>
      <w:r w:rsidRPr="00565E1C">
        <w:rPr>
          <w:color w:val="000000"/>
        </w:rPr>
        <w:t>4</w:t>
      </w:r>
      <w:r w:rsidRPr="00565E1C">
        <w:rPr>
          <w:color w:val="000000"/>
          <w:lang w:val="vi-VN"/>
        </w:rPr>
        <w:t>);</w:t>
      </w:r>
      <w:r w:rsidRPr="00565E1C">
        <w:rPr>
          <w:color w:val="000000"/>
          <w:shd w:val="clear" w:color="auto" w:fill="FFFFFF"/>
          <w:lang w:val="vi-VN"/>
        </w:rPr>
        <w:t xml:space="preserve"> </w:t>
      </w:r>
      <w:r w:rsidRPr="00565E1C">
        <w:rPr>
          <w:lang w:val="vi-VN"/>
        </w:rPr>
        <w:t>văn bản quy phạm pháp luật được xây dựng theo trình tự, thủ tục rút gọn trong “</w:t>
      </w:r>
      <w:r w:rsidRPr="00565E1C">
        <w:rPr>
          <w:i/>
          <w:color w:val="000000"/>
          <w:shd w:val="clear" w:color="auto" w:fill="FFFFFF"/>
          <w:lang w:val="en"/>
        </w:rPr>
        <w:t>Trư</w:t>
      </w:r>
      <w:r w:rsidRPr="00565E1C">
        <w:rPr>
          <w:i/>
          <w:color w:val="000000"/>
          <w:shd w:val="clear" w:color="auto" w:fill="FFFFFF"/>
        </w:rPr>
        <w:t>ờng hợp cần sửa đổi ngay cho phù hợp với văn bản quy phạm pháp luật mới được ban hành</w:t>
      </w:r>
      <w:r w:rsidRPr="00565E1C">
        <w:rPr>
          <w:color w:val="000000"/>
          <w:shd w:val="clear" w:color="auto" w:fill="FFFFFF"/>
          <w:lang w:val="vi-VN"/>
        </w:rPr>
        <w:t>” (</w:t>
      </w:r>
      <w:r w:rsidRPr="00565E1C">
        <w:rPr>
          <w:lang w:val="vi-VN"/>
        </w:rPr>
        <w:t>điểm d khoản 1 Điều 50).</w:t>
      </w:r>
    </w:p>
    <w:bookmarkEnd w:id="0"/>
    <w:p w14:paraId="1BC8A9C8" w14:textId="111CB295" w:rsidR="00F5766C" w:rsidRPr="00565E1C" w:rsidRDefault="005F7E75" w:rsidP="00565E1C">
      <w:pPr>
        <w:suppressAutoHyphens/>
        <w:spacing w:before="120" w:after="120" w:line="288" w:lineRule="auto"/>
        <w:ind w:firstLine="567"/>
        <w:jc w:val="both"/>
      </w:pPr>
      <w:r w:rsidRPr="00565E1C">
        <w:rPr>
          <w:lang w:val="vi-VN" w:eastAsia="zh-CN"/>
        </w:rPr>
        <w:t xml:space="preserve">- </w:t>
      </w:r>
      <w:bookmarkStart w:id="1" w:name="_Hlk213331424"/>
      <w:r w:rsidR="00F5766C" w:rsidRPr="00565E1C">
        <w:t>Thực hiện ý kiến chỉ đạo của Phó Thủ tướng Chính phủ Phạm Thị Thanh Trà tại Công văn số 12778/VPCP-KSTT ngày 26/12/2025 của Văn phòng Chính phủ về việc giao Bộ Tư pháp nghiên cứu, xây dựng Nghị định thay thế các Nghị định về kiểm soát thủ tục hành chính, trình Chính phủ trong Quý II năm 2026 để bảo đảm phù hợp với quy định của Luật Ban hành văn bản quy phạm pháp luật, Luật Tổ chức chính quyền địa phương và bảo đảm triển khai thống nhất, toàn diện sau khi chuyển chức năng, nhiệm vụ kiểm soát TTHC từ Văn phòng Chính phủ sang Bộ Tư pháp</w:t>
      </w:r>
      <w:r w:rsidR="00565E1C">
        <w:t>.</w:t>
      </w:r>
    </w:p>
    <w:bookmarkEnd w:id="1"/>
    <w:p w14:paraId="0DD970EB" w14:textId="0D874F61" w:rsidR="00E14B6B" w:rsidRPr="00565E1C" w:rsidRDefault="004B5344" w:rsidP="00565E1C">
      <w:pPr>
        <w:suppressAutoHyphens/>
        <w:spacing w:before="120" w:after="120" w:line="288" w:lineRule="auto"/>
        <w:ind w:firstLine="567"/>
        <w:jc w:val="both"/>
        <w:rPr>
          <w:rFonts w:eastAsia="Arial"/>
          <w:i/>
          <w:iCs/>
          <w:spacing w:val="-2"/>
        </w:rPr>
      </w:pPr>
      <w:r w:rsidRPr="00565E1C">
        <w:rPr>
          <w:b/>
          <w:lang w:val="vi-VN" w:eastAsia="zh-CN"/>
        </w:rPr>
        <w:t>2. Cơ sở thực tiễn</w:t>
      </w:r>
    </w:p>
    <w:p w14:paraId="17CF57F0" w14:textId="736BD78C" w:rsidR="00E14B6B" w:rsidRPr="00565E1C" w:rsidRDefault="00E14B6B" w:rsidP="00565E1C">
      <w:pPr>
        <w:suppressAutoHyphens/>
        <w:spacing w:before="120" w:after="120" w:line="288" w:lineRule="auto"/>
        <w:ind w:firstLine="567"/>
        <w:jc w:val="both"/>
        <w:rPr>
          <w:rFonts w:eastAsia="Arial"/>
          <w:b/>
          <w:i/>
          <w:iCs/>
          <w:spacing w:val="-2"/>
        </w:rPr>
      </w:pPr>
      <w:r w:rsidRPr="00565E1C">
        <w:rPr>
          <w:rFonts w:eastAsia="Arial"/>
          <w:b/>
          <w:i/>
          <w:iCs/>
          <w:spacing w:val="-2"/>
        </w:rPr>
        <w:t xml:space="preserve">2.1. </w:t>
      </w:r>
      <w:r w:rsidRPr="00565E1C">
        <w:rPr>
          <w:b/>
          <w:i/>
        </w:rPr>
        <w:t>Những vấn đề thực tiễn đặt ra trong công tác kiểm soát thủ tục hành chính</w:t>
      </w:r>
    </w:p>
    <w:p w14:paraId="30719BB9" w14:textId="1BF81877" w:rsidR="00E14B6B" w:rsidRPr="00565E1C" w:rsidRDefault="00E14B6B" w:rsidP="00565E1C">
      <w:pPr>
        <w:spacing w:before="120" w:after="120" w:line="288" w:lineRule="auto"/>
        <w:ind w:firstLine="567"/>
        <w:jc w:val="both"/>
      </w:pPr>
      <w:r w:rsidRPr="00565E1C">
        <w:t>Sau hơn 15 năm triển khai thực hiện, Nghị định số Nghị định số 63/2010/NĐ-CP đã tạo nền tảng quan trọng cho việc hình thành và vận hành cơ chế kiểm soát thủ tục hành chính thống nhất trong phạm vi toàn quốc. Thông qua việc thiết lập các công cụ như đánh giá tác động thủ tục hành chính, công bố, rà soát, kiểm tra thủ tục hành chính và tiếp nhận, xử lý phản ánh, kiến nghị, công tác kiểm soát thủ tục hành chính đã từng bước đi vào nền nếp, góp phần nâng cao tính công khai, minh bạch của nền hành chính, cải thiện môi trường đầu tư kinh doanh và nâng cao chất lượng phục vụ người dân, doanh nghiệp.</w:t>
      </w:r>
    </w:p>
    <w:p w14:paraId="116FE75E" w14:textId="77777777" w:rsidR="00E14B6B" w:rsidRPr="00565E1C" w:rsidRDefault="00E14B6B" w:rsidP="00565E1C">
      <w:pPr>
        <w:spacing w:before="120" w:after="120" w:line="288" w:lineRule="auto"/>
        <w:ind w:firstLine="567"/>
        <w:jc w:val="both"/>
      </w:pPr>
      <w:r w:rsidRPr="00565E1C">
        <w:t xml:space="preserve">Đặc biệt, giai đoạn triển khai Nghị định số 63/2010/NĐ-CP đã đánh dấu bước chuyển quan trọng từ mô hình cải cách theo chiến dịch, đợt cao điểm sang </w:t>
      </w:r>
      <w:r w:rsidRPr="00565E1C">
        <w:lastRenderedPageBreak/>
        <w:t>cơ chế kiểm soát thủ tục hành chính mang tính thường xuyên, liên tục và được thể chế hóa. Công tác cắt giảm, đơn giản hóa thủ tục hành chính ngày càng đi vào chiều sâu, không chỉ dừng ở việc giảm số lượng thủ tục mà từng bước chuyển sang tối ưu hóa quy trình, giảm chi phí tuân thủ và thúc đẩy liên thông, tích hợp thủ tục hành chính theo nhu cầu thực tiễn của người dân, doanh nghiệp. Việc triển khai cơ chế một cửa, một cửa liên thông, xây dựng Cổng Dịch vụ công quốc gia, kết nối cơ sở dữ liệu quốc gia, cơ sở dữ liệu chuyên ngành và đẩy mạnh thực hiện thủ tục hành chính trên môi trường điện tử đã tạo bước chuyển rõ nét trong quá trình hiện đại hóa nền hành chính và thúc đẩy chuyển đổi số quốc gia.</w:t>
      </w:r>
    </w:p>
    <w:p w14:paraId="0D0BCEDA" w14:textId="647578A1" w:rsidR="00E14B6B" w:rsidRPr="00565E1C" w:rsidRDefault="00E14B6B" w:rsidP="00565E1C">
      <w:pPr>
        <w:spacing w:before="120" w:after="120" w:line="288" w:lineRule="auto"/>
        <w:ind w:firstLine="567"/>
        <w:jc w:val="both"/>
      </w:pPr>
      <w:r w:rsidRPr="00565E1C">
        <w:t xml:space="preserve">Bên cạnh những kết quả đạt được, thực tiễn triển khai cũng cho thấy Nghị định số 63/2010/NĐ-CP đã bộc lộ </w:t>
      </w:r>
      <w:r w:rsidR="007B41C6" w:rsidRPr="00565E1C">
        <w:t>một số</w:t>
      </w:r>
      <w:r w:rsidRPr="00565E1C">
        <w:t xml:space="preserve"> hạn chế, </w:t>
      </w:r>
      <w:r w:rsidR="007B41C6" w:rsidRPr="00565E1C">
        <w:t xml:space="preserve">cần sửa đổi, bổ sung </w:t>
      </w:r>
      <w:r w:rsidRPr="00565E1C">
        <w:t>đáp ứng yêu cầu của giai đoạn phát triển mới. Trước hết, phạm vi điều chỉnh của Nghị định còn hẹp, chủ yếu tập trung vào thủ tục hành chính trong quan hệ giữa cơ quan hành chính nhà nước với người dân, doanh nghiệp mà chưa bao quát đầy đủ các thủ tục hành chính nội bộ, quy trình xử lý công việc trong nội bộ cơ quan hành chính nhà nước. Trong khi đó, thực tiễn cho thấy nhiều thủ tục nội bộ có tác động trực tiếp đến hiệu quả vận hành của bộ máy hành chính, thời gian xử lý công việc và chất lượng phục vụ người dân, doanh nghiệp nhưng chưa được kiểm soát thống nhất.</w:t>
      </w:r>
    </w:p>
    <w:p w14:paraId="190B4289" w14:textId="2A35191F" w:rsidR="00E14B6B" w:rsidRPr="00565E1C" w:rsidRDefault="00E14B6B" w:rsidP="00565E1C">
      <w:pPr>
        <w:spacing w:before="120" w:after="120" w:line="288" w:lineRule="auto"/>
        <w:ind w:firstLine="567"/>
        <w:jc w:val="both"/>
      </w:pPr>
      <w:r w:rsidRPr="00565E1C">
        <w:t>Bên cạnh đó, phương thức và công cụ kiểm soát thủ tục hành chính theo Nghị định số 63/2010/NĐ-CP vẫn chủ yếu dựa trên cách</w:t>
      </w:r>
      <w:r w:rsidR="00AC0005">
        <w:t xml:space="preserve"> tiếp cận quản lý truyền thống </w:t>
      </w:r>
      <w:r w:rsidRPr="00565E1C">
        <w:t>chưa chuyển mạnh sang mô hình quản trị hiện đại dựa</w:t>
      </w:r>
      <w:r w:rsidR="00AC0005">
        <w:t xml:space="preserve"> trên quản lý rủi ro, nguyên lý cạnh tranh </w:t>
      </w:r>
      <w:r w:rsidRPr="00565E1C">
        <w:t>và quản trị dựa trên dữ liệu. Nghị định hiện hành chưa thiết lập được cơ chế kiểm soát đủ mạnh đối với việc ban hành các thủ tục hành chính mang tính “tiền kiểm”, cấp phép và cơ chế “xin – cho”; chưa có nguyên tắc phân loại mức độ rủi ro để áp dụng biện pháp quản lý phù hợp theo thông lệ quốc tế. Do đó, trong nhiều lĩnh vực, thủ tục cấp phép vẫn được áp dụng phổ biến ngay cả đối với các hoạt động có mức độ rủi ro thấp, làm gia tăng chi phí tuân thủ và hạn chế tính linh hoạt của môi trường đầu tư kinh doanh.</w:t>
      </w:r>
    </w:p>
    <w:p w14:paraId="6004443B" w14:textId="3C3AFFC3" w:rsidR="00E14B6B" w:rsidRPr="00565E1C" w:rsidRDefault="00E14B6B" w:rsidP="00565E1C">
      <w:pPr>
        <w:spacing w:before="120" w:after="120" w:line="288" w:lineRule="auto"/>
        <w:ind w:firstLine="567"/>
        <w:jc w:val="both"/>
      </w:pPr>
      <w:r w:rsidRPr="00565E1C">
        <w:t>Cơ chế rà soát, đánh giá thủ tục hành chính hiện nay cũng còn mang tính đơn lẻ, chưa được thiết kế theo vòng đời sự kiện và trải nghiệm thực tế của người dân, doanh nghiệp. Việc đánh giá chủ yếu tập trung vào tính</w:t>
      </w:r>
      <w:r w:rsidR="00AC0005">
        <w:t xml:space="preserve"> cần thiết,</w:t>
      </w:r>
      <w:r w:rsidRPr="00565E1C">
        <w:t xml:space="preserve"> hợp pháp, hợp lý của quy định mà chưa gắn chặt với dữ liệu thực tiễn về thời gian xử lý, chi phí phát sinh, mức độ thuận tiện và khả năng liên thông trong quá trình thực hiện thủ tục hành chính. Điều này dẫn đến tình trạng nhiều thủ tục được thiết kế theo hướng thuận tiện cho cơ quan quản lý hơn là lấy người dân, doanh nghiệp làm trung tâm.</w:t>
      </w:r>
    </w:p>
    <w:p w14:paraId="1EBA69B2" w14:textId="77777777" w:rsidR="00E14B6B" w:rsidRPr="00565E1C" w:rsidRDefault="00E14B6B" w:rsidP="00565E1C">
      <w:pPr>
        <w:spacing w:before="120" w:after="120" w:line="288" w:lineRule="auto"/>
        <w:ind w:firstLine="567"/>
        <w:jc w:val="both"/>
      </w:pPr>
      <w:r w:rsidRPr="00565E1C">
        <w:lastRenderedPageBreak/>
        <w:t>Ngoài ra, thực tiễn triển khai cũng cho thấy còn thiếu cơ chế kiểm soát chặt chẽ về thẩm quyền quy định thủ tục hành chính. Một số văn bản quy phạm pháp luật giao địa phương quy định toàn bộ nội dung thủ tục hành chính đối với các thủ tục có phạm vi áp dụng rộng hoặc cho phép quy định các điều kiện, giấy phép ở cấp thông tư mà chưa có cơ chế kiểm soát hiệu quả. Điều này dẫn đến tình trạng cùng một loại thủ tục được quy định và thực hiện khác nhau giữa các địa phương, ảnh hưởng đến tính thống nhất của hệ thống pháp luật, gây khó khăn cho việc số hóa, xây dựng cơ sở dữ liệu dùng chung và triển khai dịch vụ công trực tuyến không phụ thuộc địa giới hành chính.</w:t>
      </w:r>
    </w:p>
    <w:p w14:paraId="70759878" w14:textId="3EA52EDE" w:rsidR="00E14B6B" w:rsidRPr="00565E1C" w:rsidRDefault="00E14B6B" w:rsidP="00565E1C">
      <w:pPr>
        <w:spacing w:before="120" w:after="120" w:line="288" w:lineRule="auto"/>
        <w:ind w:firstLine="567"/>
        <w:jc w:val="both"/>
      </w:pPr>
      <w:r w:rsidRPr="00565E1C">
        <w:t>Bên cạnh đó, quy định về công bố thủ tục hành chính theo hướng “địa phương hóa” cũng bộc lộ nhiều bất cập trong bối cảnh chuyển đổi số. Việc địa phương thực hiện công bố lại các thủ tục hành chính đã được Bộ, ngành công bố làm phát sinh khối lượng công việc lớn, mang tính lặp lại, gây tốn kém nguồn lực và ảnh hưởng đến việc xây dựng hệ thống dữ liệu thủ tục hành chính thống nhất trên toàn quốc.</w:t>
      </w:r>
    </w:p>
    <w:p w14:paraId="6A672662" w14:textId="7D80C2AC" w:rsidR="00E14B6B" w:rsidRPr="00565E1C" w:rsidRDefault="00E14B6B" w:rsidP="00565E1C">
      <w:pPr>
        <w:spacing w:before="120" w:after="120" w:line="288" w:lineRule="auto"/>
        <w:ind w:firstLine="567"/>
        <w:jc w:val="both"/>
      </w:pPr>
      <w:r w:rsidRPr="00565E1C">
        <w:t xml:space="preserve">Thực tiễn cũng cho thấy cơ chế bảo đảm thực thi các phương án cắt giảm, đơn giản hóa thủ tục hành chính còn </w:t>
      </w:r>
      <w:r w:rsidR="00AC0005">
        <w:t>chậm</w:t>
      </w:r>
      <w:r w:rsidRPr="00565E1C">
        <w:t>; trách nhiệm giải trình của cơ quan ban hành và thực hiện thủ tục hành chính chưa gắn với kết quả đầu ra và chi phí tuân thủ mà người dân, doanh nghiệp phải gánh chịu. Đồng thời, việc tham gia của người dân, doanh nghiệp trong quá trình xây dựng và hoàn thiện thủ tục hành chính còn mang tính hình thức, chưa bảo đảm sự tham gia thực chất ngay từ giai đoạn hình thành chính sách.</w:t>
      </w:r>
    </w:p>
    <w:p w14:paraId="123861EF" w14:textId="04A5FD27" w:rsidR="00E14B6B" w:rsidRPr="00565E1C" w:rsidRDefault="00E14B6B" w:rsidP="00565E1C">
      <w:pPr>
        <w:spacing w:before="120" w:after="120" w:line="288" w:lineRule="auto"/>
        <w:ind w:firstLine="567"/>
        <w:jc w:val="both"/>
      </w:pPr>
      <w:r w:rsidRPr="00565E1C">
        <w:t>Đặc biệt, trong bối cảnh hiện nay, yêu cầu phát triển Chính phủ số, kinh tế số, xã hội số; yêu cầu cải thiện môi trường đầu tư kinh doanh, nâng cao năng lực cạnh tranh quốc gia; cùng các chủ trương lớn của Đảng về đổi mới quản trị quốc gia, hoàn thiện thể chế, thúc đẩy chuyển đổi số và cắt giảm, đơn giản hóa thủ tục hành chính theo các Nghị quyết của Trung ương và Chính phủ đang đặt ra yêu cầu phải đổi mới căn bản mô hình kiểm soát thủ tục hành chính. Theo đó, việc kiểm soát thủ tục hành chính cần chuyển mạnh sang mô hình quản trị thủ tục hành chính hiện đại, lấy người dân, doanh nghiệp làm trung tâm; quản lý dựa trên dữ liệu; áp dụng nguyên tắc quản lý rủi ro; tăng cường hậu kiểm; nâng cao trách nhiệm giải trình và giảm tối đa chi phí tuân thủ.</w:t>
      </w:r>
    </w:p>
    <w:p w14:paraId="46281DE0" w14:textId="3A5DC67B" w:rsidR="00E14B6B" w:rsidRPr="00565E1C" w:rsidRDefault="00E14B6B" w:rsidP="00565E1C">
      <w:pPr>
        <w:spacing w:before="120" w:after="120" w:line="288" w:lineRule="auto"/>
        <w:ind w:firstLine="567"/>
        <w:jc w:val="both"/>
      </w:pPr>
      <w:r w:rsidRPr="00565E1C">
        <w:t xml:space="preserve">Từ những cơ sở thực tiễn nêu trên, việc ban hành Nghị định thay thế Nghị định số Nghị định số 63/2010/NĐ-CP là cần thiết nhằm hoàn thiện khuôn khổ pháp lý về kiểm soát và thực hiện thủ tục hành chính theo hướng hiện đại, đồng bộ với yêu cầu chuyển đổi số, phù hợp với yêu cầu phát triển kinh tế - xã hội trong </w:t>
      </w:r>
      <w:r w:rsidRPr="00565E1C">
        <w:lastRenderedPageBreak/>
        <w:t>giai đoạn mới, đồng thời tạo cơ sở pháp lý cho việc xây dựng nền hành chính phục vụ, chuyên nghiệp, hiện đại, hiệu lực, hiệu quả.</w:t>
      </w:r>
    </w:p>
    <w:p w14:paraId="0D0554BD" w14:textId="77777777" w:rsidR="007B41C6" w:rsidRPr="00565E1C" w:rsidRDefault="007B41C6" w:rsidP="00565E1C">
      <w:pPr>
        <w:pStyle w:val="Heading3"/>
        <w:spacing w:before="120" w:after="120" w:line="288" w:lineRule="auto"/>
        <w:ind w:firstLine="540"/>
        <w:rPr>
          <w:rFonts w:ascii="Times New Roman" w:hAnsi="Times New Roman" w:cs="Times New Roman"/>
          <w:b/>
          <w:i/>
          <w:color w:val="000000" w:themeColor="text1"/>
          <w:sz w:val="28"/>
          <w:szCs w:val="28"/>
        </w:rPr>
      </w:pPr>
      <w:r w:rsidRPr="00565E1C">
        <w:rPr>
          <w:rFonts w:ascii="Times New Roman" w:hAnsi="Times New Roman" w:cs="Times New Roman"/>
          <w:b/>
          <w:i/>
          <w:color w:val="000000" w:themeColor="text1"/>
          <w:sz w:val="28"/>
          <w:szCs w:val="28"/>
        </w:rPr>
        <w:t>2.2. Cơ sở thực tiễn từ việc triển khai mô hình chính quyền địa phương hai cấp và sắp xếp đơn vị hành chính</w:t>
      </w:r>
    </w:p>
    <w:p w14:paraId="20908F9C" w14:textId="77777777" w:rsidR="007B41C6" w:rsidRPr="00565E1C" w:rsidRDefault="007B41C6" w:rsidP="00565E1C">
      <w:pPr>
        <w:pStyle w:val="NormalWeb"/>
        <w:spacing w:after="120" w:line="288" w:lineRule="auto"/>
      </w:pPr>
      <w:r w:rsidRPr="00565E1C">
        <w:t>Thời gian qua, việc thực hiện chủ trương sắp xếp đơn vị hành chính và tổ chức mô hình chính quyền địa phương hai cấp theo Nghị quyết số 202/2025/QH15 của Quốc hội đã tạo ra những thay đổi lớn trong tổ chức bộ máy hành chính nhà nước và phương thức thực hiện thủ tục hành chính. Theo đó, số lượng đơn vị hành chính cấp tỉnh giảm từ 63 xuống còn 34 đơn vị; số lượng đơn vị hành chính cấp xã giảm mạnh từ 10.035 xuống còn 3.321 đơn vị. Việc tổ chức lại không gian hành chính và bộ máy chính quyền địa phương đã tác động trực tiếp đến cơ chế tiếp nhận, giải quyết và kiểm soát thủ tục hành chính trên phạm vi toàn quốc.</w:t>
      </w:r>
    </w:p>
    <w:p w14:paraId="64E208F2" w14:textId="77777777" w:rsidR="007B41C6" w:rsidRPr="00565E1C" w:rsidRDefault="007B41C6" w:rsidP="00565E1C">
      <w:pPr>
        <w:pStyle w:val="NormalWeb"/>
        <w:spacing w:after="120" w:line="288" w:lineRule="auto"/>
      </w:pPr>
      <w:r w:rsidRPr="00565E1C">
        <w:t>Trong bối cảnh đó, hoạt động kiểm soát thủ tục hành chính đang chuyển sang giai đoạn phát triển mới gắn với yêu cầu đẩy mạnh phân cấp, phân quyền, tinh gọn đầu mối, tăng cường chuyển đổi số và tổ chức thực hiện thủ tục hành chính không phụ thuộc vào địa giới hành chính. Cấp xã ngày càng đóng vai trò trực tiếp hơn trong việc tiếp nhận, giải quyết thủ tục hành chính cho người dân và doanh nghiệp, đòi hỏi phải có cơ chế kiểm soát thủ tục hành chính phù hợp, đồng bộ và thống nhất giữa các cấp chính quyền. Đồng thời, việc vận hành mô hình chính quyền địa phương hai cấp cũng thúc đẩy yêu cầu chuyển từ phương thức “kiểm soát thủ tục trên giấy” sang “kiểm soát thủ tục trên môi trường điện tử”, dựa trên dữ liệu và kết nối liên thông giữa các hệ thống thông tin giải quyết thủ tục hành chính.</w:t>
      </w:r>
    </w:p>
    <w:p w14:paraId="4E7E0B5F" w14:textId="77777777" w:rsidR="007B41C6" w:rsidRPr="00565E1C" w:rsidRDefault="007B41C6" w:rsidP="00565E1C">
      <w:pPr>
        <w:pStyle w:val="NormalWeb"/>
        <w:spacing w:after="120" w:line="288" w:lineRule="auto"/>
      </w:pPr>
      <w:r w:rsidRPr="00565E1C">
        <w:t xml:space="preserve">Bên cạnh những kết quả tích cực, thực tiễn triển khai cũng phát sinh nhiều khó khăn, vướng mắc đặt ra yêu cầu cần hoàn thiện khuôn khổ pháp lý về kiểm soát thủ tục hành chính. Việc thay đổi tổ chức bộ máy và thẩm quyền giữa các cấp chính quyền trong một số trường hợp chưa được cập nhật, đồng bộ kịp thời trong hệ thống quy định pháp luật, dẫn đến khó khăn trong xác định cơ quan có thẩm quyền tiếp nhận, giải quyết thủ tục hành chính; trách nhiệm giữa cấp tỉnh và cấp xã có lúc chưa thực sự rõ ràng. Đồng thời, quá trình triển khai mô hình mới cho thấy hoạt động kiểm soát và giải quyết thủ tục hành chính ngày càng phụ thuộc lớn vào hạ tầng số, cơ sở dữ liệu, khả năng kết nối, chia sẻ thông tin và chất lượng đội ngũ cán bộ, công chức trực tiếp thực hiện nhiệm vụ. Trong khi đó, hệ thống pháp luật hiện hành, trong đó có Nghị định số 63/2010/NĐ-CP, chưa theo kịp yêu cầu quản trị mới dựa trên dữ liệu, chưa thiết lập đầy đủ cơ chế kiểm soát thủ tục </w:t>
      </w:r>
      <w:r w:rsidRPr="00565E1C">
        <w:lastRenderedPageBreak/>
        <w:t>hành chính trong môi trường số và chưa đáp ứng yêu cầu thực hiện thủ tục hành chính không phụ thuộc vào địa giới hành chính.</w:t>
      </w:r>
    </w:p>
    <w:p w14:paraId="3A943E51" w14:textId="643557BB" w:rsidR="007B41C6" w:rsidRPr="00565E1C" w:rsidRDefault="007B41C6" w:rsidP="00565E1C">
      <w:pPr>
        <w:pStyle w:val="NormalWeb"/>
        <w:spacing w:after="120" w:line="288" w:lineRule="auto"/>
      </w:pPr>
      <w:r w:rsidRPr="00565E1C">
        <w:t>Thực tiễn nêu trên đặt ra yêu cầu cấp thiết phải sửa đổi, thay thế Nghị định số 63/2010/NĐ-CP nhằm hoàn thiện cơ chế kiểm soát thủ tục hành chính phù hợp với mô hình chính quyền địa phương hai cấp, bảo đảm phân định rõ thẩm quyền giữa các cấp hành chính, tăng cường quản trị dựa trên dữ liệu, thúc đẩy thực hiện thủ tục hành chính trên môi trường điện tử và nâng cao hiệu quả phục vụ người dân, doanh nghiệp trong bối cảnh mới.</w:t>
      </w:r>
    </w:p>
    <w:p w14:paraId="6EB7B725" w14:textId="17B8E20F" w:rsidR="007B41C6" w:rsidRPr="00565E1C" w:rsidRDefault="007B41C6" w:rsidP="00565E1C">
      <w:pPr>
        <w:spacing w:before="120" w:after="120" w:line="288" w:lineRule="auto"/>
        <w:jc w:val="both"/>
      </w:pPr>
      <w:r w:rsidRPr="00565E1C">
        <w:rPr>
          <w:rFonts w:eastAsia="Arial"/>
          <w:i/>
          <w:iCs/>
          <w:spacing w:val="-2"/>
        </w:rPr>
        <w:tab/>
      </w:r>
      <w:r w:rsidRPr="00565E1C">
        <w:t>Do đó, để cụ thể hóa các chủ trương của Đảng về đổi mới phương thức quản trị quốc gia, thúc đẩy chuyển đổi số, cải thiện môi trường đầu tư kinh doanh và hoàn thiện thể chế kiểm soát thủ tục hành chính theo hướng hiện đại; đồng thời bảo đảm thống nhất với các quy định mới của pháp luật về tổ chức bộ máy nhà nước, ban hành văn bản quy phạm pháp luật và mô hình chính quyền địa phương hai cấp, việc xây dựng Nghị định thay thế Nghị định số 63/2010/NĐ-CP là cần thiết và cấp bách.</w:t>
      </w:r>
    </w:p>
    <w:p w14:paraId="4634CF49" w14:textId="77777777" w:rsidR="007B41C6" w:rsidRPr="00565E1C" w:rsidRDefault="007B41C6" w:rsidP="00565E1C">
      <w:pPr>
        <w:spacing w:before="120" w:after="120" w:line="288" w:lineRule="auto"/>
        <w:ind w:firstLine="720"/>
        <w:jc w:val="both"/>
      </w:pPr>
      <w:r w:rsidRPr="00565E1C">
        <w:t>Theo đó, cần nghiên cứu hoàn thiện đồng bộ các quy định về phạm vi và cơ chế kiểm soát thủ tục hành chính; đổi mới công tác đánh giá tác động, rà soát, công bố, công khai và tổ chức thực hiện thủ tục hành chính theo hướng số hóa, quản trị dựa trên dữ liệu và tiệm cận thông lệ quốc tế; hoàn thiện quy định về thẩm quyền ban hành thủ tục hành chính giữa trung ương và địa phương phù hợp với mô hình chính quyền địa phương hai cấp; tăng cường trách nhiệm giải trình của cơ quan nhà nước trong xây dựng và thực hiện thủ tục hành chính; đồng thời thiết lập cơ chế tham gia thực chất của người dân, doanh nghiệp và các chủ thể liên quan trong toàn bộ quá trình xây dựng, thực thi và giám sát thủ tục hành chính.</w:t>
      </w:r>
    </w:p>
    <w:p w14:paraId="7300ECCC" w14:textId="77777777" w:rsidR="007B41C6" w:rsidRPr="00565E1C" w:rsidRDefault="007B41C6" w:rsidP="00565E1C">
      <w:pPr>
        <w:spacing w:before="120" w:after="120" w:line="288" w:lineRule="auto"/>
        <w:ind w:firstLine="720"/>
        <w:jc w:val="both"/>
      </w:pPr>
      <w:r w:rsidRPr="00565E1C">
        <w:t>Bên cạnh đó, cần tiếp tục hoàn thiện cơ sở pháp lý cho việc kết nối, chia sẻ, tái sử dụng dữ liệu; đẩy mạnh ứng dụng chuyển đổi số trong toàn bộ hoạt động kiểm soát và giải quyết thủ tục hành chính; bảo đảm công khai, minh bạch, thống nhất, thuận lợi trong tổ chức thực hiện; góp phần nâng cao hiệu lực, hiệu quả quản lý nhà nước, cải thiện môi trường đầu tư kinh doanh và nâng cao năng lực cạnh tranh quốc gia.</w:t>
      </w:r>
    </w:p>
    <w:p w14:paraId="058940AE" w14:textId="0D250145" w:rsidR="007B41C6" w:rsidRDefault="007B41C6" w:rsidP="00565E1C">
      <w:pPr>
        <w:spacing w:before="120" w:after="120" w:line="288" w:lineRule="auto"/>
        <w:ind w:firstLine="567"/>
        <w:jc w:val="both"/>
      </w:pPr>
      <w:r w:rsidRPr="00565E1C">
        <w:t>Từ những yêu cầu nêu trên, việc xây dựng Nghị định thay thế Nghị định số 63/2010/NĐ-CP là cần thiết nhằm tạo lập khuôn khổ pháp lý đồng bộ cho quản trị thủ tục hành chính hiện đại, đáp ứng yêu cầu phát triển của nền hành chính phục vụ, Chính phủ số, kinh tế số và xã hội số trong giai đoạn mới.</w:t>
      </w:r>
    </w:p>
    <w:p w14:paraId="5FAE5AF4" w14:textId="77777777" w:rsidR="007D505D" w:rsidRPr="00565E1C" w:rsidRDefault="007D505D" w:rsidP="00565E1C">
      <w:pPr>
        <w:spacing w:before="120" w:after="120" w:line="288" w:lineRule="auto"/>
        <w:ind w:firstLine="567"/>
        <w:jc w:val="both"/>
      </w:pPr>
      <w:bookmarkStart w:id="2" w:name="_GoBack"/>
      <w:bookmarkEnd w:id="2"/>
    </w:p>
    <w:p w14:paraId="475046EB" w14:textId="09EBF987" w:rsidR="004B5344" w:rsidRPr="00565E1C" w:rsidRDefault="004B5344" w:rsidP="00565E1C">
      <w:pPr>
        <w:suppressAutoHyphens/>
        <w:spacing w:before="120" w:after="120" w:line="288" w:lineRule="auto"/>
        <w:ind w:firstLine="567"/>
        <w:jc w:val="both"/>
        <w:rPr>
          <w:b/>
          <w:spacing w:val="-8"/>
          <w:lang w:val="vi-VN" w:eastAsia="zh-CN"/>
        </w:rPr>
      </w:pPr>
      <w:r w:rsidRPr="00565E1C">
        <w:rPr>
          <w:b/>
          <w:spacing w:val="-8"/>
          <w:lang w:val="vi-VN" w:eastAsia="zh-CN"/>
        </w:rPr>
        <w:lastRenderedPageBreak/>
        <w:t>II. MỤC ĐÍCH BAN HÀNH, QUAN ĐIỂM XÂY DỰNG VĂN BẢN</w:t>
      </w:r>
    </w:p>
    <w:p w14:paraId="6DBD7C36" w14:textId="77777777" w:rsidR="004B5344" w:rsidRPr="00565E1C" w:rsidRDefault="004B5344" w:rsidP="00565E1C">
      <w:pPr>
        <w:tabs>
          <w:tab w:val="right" w:leader="dot" w:pos="7920"/>
        </w:tabs>
        <w:suppressAutoHyphens/>
        <w:spacing w:before="120" w:after="120" w:line="288" w:lineRule="auto"/>
        <w:ind w:firstLine="567"/>
        <w:jc w:val="both"/>
        <w:rPr>
          <w:b/>
          <w:lang w:val="vi-VN" w:eastAsia="zh-CN"/>
        </w:rPr>
      </w:pPr>
      <w:r w:rsidRPr="00565E1C">
        <w:rPr>
          <w:b/>
          <w:lang w:val="vi-VN" w:eastAsia="zh-CN"/>
        </w:rPr>
        <w:t>1. Mục đích ban hành</w:t>
      </w:r>
    </w:p>
    <w:p w14:paraId="1F575F9E" w14:textId="77777777" w:rsidR="00437659" w:rsidRPr="00565E1C" w:rsidRDefault="00437659" w:rsidP="00565E1C">
      <w:pPr>
        <w:spacing w:before="120" w:after="120" w:line="288" w:lineRule="auto"/>
        <w:ind w:firstLine="567"/>
        <w:jc w:val="both"/>
      </w:pPr>
      <w:r w:rsidRPr="00565E1C">
        <w:t>Việc ban hành Nghị định thay thế Nghị định số 63/2010/NĐ-CP nhằm thể chế hóa các chủ trương, định hướng của Đảng về cải cách hành chính, đổi mới quản trị quốc gia, thúc đẩy chuyển đổi số và cải thiện môi trường đầu tư kinh doanh; đồng thời bảo đảm thống nhất với các quy định pháp luật mới về tổ chức bộ máy nhà nước, ban hành văn bản quy phạm pháp luật và mô hình chính quyền địa phương hai cấp.</w:t>
      </w:r>
    </w:p>
    <w:p w14:paraId="75FBFAA6" w14:textId="77777777" w:rsidR="00437659" w:rsidRPr="00565E1C" w:rsidRDefault="00437659" w:rsidP="00565E1C">
      <w:pPr>
        <w:spacing w:before="120" w:after="120" w:line="288" w:lineRule="auto"/>
        <w:ind w:firstLine="567"/>
        <w:jc w:val="both"/>
      </w:pPr>
      <w:r w:rsidRPr="00565E1C">
        <w:t>Nghị định được xây dựng nhằm khắc phục những hạn chế, bất cập của cơ chế kiểm soát thủ tục hành chính hiện hành; hoàn thiện khuôn khổ pháp lý về kiểm soát thủ tục hành chính theo hướng hiện đại, đồng bộ, công khai, minh bạch và hiệu quả; nâng cao chất lượng xây dựng, ban hành và tổ chức thực hiện thủ tục hành chính, góp phần nâng cao hiệu lực, hiệu quả quản lý nhà nước, tạo thuận lợi cho người dân, doanh nghiệp và đáp ứng yêu cầu phát triển trong giai đoạn mới.</w:t>
      </w:r>
    </w:p>
    <w:p w14:paraId="22D1C0CC" w14:textId="77777777" w:rsidR="004B5344" w:rsidRPr="00565E1C" w:rsidRDefault="004B5344" w:rsidP="00565E1C">
      <w:pPr>
        <w:tabs>
          <w:tab w:val="right" w:leader="dot" w:pos="7920"/>
        </w:tabs>
        <w:suppressAutoHyphens/>
        <w:spacing w:before="120" w:after="120" w:line="288" w:lineRule="auto"/>
        <w:ind w:firstLine="567"/>
        <w:jc w:val="both"/>
        <w:rPr>
          <w:b/>
          <w:lang w:val="vi-VN" w:eastAsia="zh-CN"/>
        </w:rPr>
      </w:pPr>
      <w:r w:rsidRPr="00565E1C">
        <w:rPr>
          <w:b/>
          <w:lang w:val="vi-VN" w:eastAsia="zh-CN"/>
        </w:rPr>
        <w:t>2. Quan điểm xây dựng Nghị định</w:t>
      </w:r>
    </w:p>
    <w:p w14:paraId="4F15CF03" w14:textId="77777777" w:rsidR="00437659" w:rsidRPr="00565E1C" w:rsidRDefault="00437659" w:rsidP="00565E1C">
      <w:pPr>
        <w:spacing w:before="120" w:after="120" w:line="288" w:lineRule="auto"/>
        <w:ind w:firstLine="567"/>
        <w:jc w:val="both"/>
      </w:pPr>
      <w:r w:rsidRPr="00565E1C">
        <w:t>Một là, việc xây dựng Nghị định phải thể chế hóa đầy đủ các chủ trương, định hướng của Đảng về cải cách hành chính, đổi mới quản trị quốc gia, thúc đẩy chuyển đổi số, cải thiện môi trường đầu tư kinh doanh và xây dựng nền hành chính phục vụ; đồng thời bảo đảm thống nhất, đồng bộ với các quy định của Hiến pháp và pháp luật hiện hành về tổ chức bộ máy nhà nước, ban hành văn bản quy phạm pháp luật và mô hình chính quyền địa phương hai cấp.</w:t>
      </w:r>
    </w:p>
    <w:p w14:paraId="12B38121" w14:textId="77777777" w:rsidR="00437659" w:rsidRPr="00565E1C" w:rsidRDefault="00437659" w:rsidP="00565E1C">
      <w:pPr>
        <w:spacing w:before="120" w:after="120" w:line="288" w:lineRule="auto"/>
        <w:ind w:firstLine="567"/>
        <w:jc w:val="both"/>
      </w:pPr>
      <w:r w:rsidRPr="00565E1C">
        <w:t>Hai là, hoàn thiện khuôn khổ pháp lý về kiểm soát thủ tục hành chính theo hướng hiện đại, lấy người dân, doanh nghiệp làm trung tâm; tăng cường công khai, minh bạch, trách nhiệm giải trình; đẩy mạnh ứng dụng công nghệ số, quản trị dựa trên dữ liệu, kết nối và chia sẻ dữ liệu trong toàn bộ quá trình xây dựng, ban hành và tổ chức thực hiện thủ tục hành chính.</w:t>
      </w:r>
    </w:p>
    <w:p w14:paraId="0B6D9D11" w14:textId="77777777" w:rsidR="00437659" w:rsidRPr="00565E1C" w:rsidRDefault="00437659" w:rsidP="00565E1C">
      <w:pPr>
        <w:spacing w:before="120" w:after="120" w:line="288" w:lineRule="auto"/>
        <w:ind w:firstLine="567"/>
        <w:jc w:val="both"/>
      </w:pPr>
      <w:r w:rsidRPr="00565E1C">
        <w:t>Ba là, đổi mới cơ chế kiểm soát thủ tục hành chính theo hướng nâng cao chất lượng đánh giá tác động, rà soát, công bố, công khai và tổ chức thực hiện thủ tục hành chính; bảo đảm kiểm soát chặt chẽ việc ban hành thủ tục hành chính, giảm chi phí tuân thủ, tháo gỡ rào cản hành chính, tạo thuận lợi cho người dân, doanh nghiệp và nâng cao hiệu lực, hiệu quả quản lý nhà nước.</w:t>
      </w:r>
    </w:p>
    <w:p w14:paraId="072F52FF" w14:textId="77777777" w:rsidR="00437659" w:rsidRPr="00565E1C" w:rsidRDefault="00437659" w:rsidP="00565E1C">
      <w:pPr>
        <w:spacing w:before="120" w:after="120" w:line="288" w:lineRule="auto"/>
        <w:ind w:firstLine="567"/>
        <w:jc w:val="both"/>
      </w:pPr>
      <w:r w:rsidRPr="00565E1C">
        <w:t xml:space="preserve">Bốn là, việc xây dựng Nghị định được thực hiện trên cơ sở kế thừa các quy định còn phù hợp của Nghị định số 63/2010/NĐ-CP, đồng thời sửa đổi, bổ sung các quy định không còn phù hợp, khắc phục những tồn tại, hạn chế phát sinh trong </w:t>
      </w:r>
      <w:r w:rsidRPr="00565E1C">
        <w:lastRenderedPageBreak/>
        <w:t>thực tiễn; bảo đảm tính khả thi, ổn định, thống nhất và đáp ứng yêu cầu phát triển trong giai đoạn mới.</w:t>
      </w:r>
    </w:p>
    <w:p w14:paraId="4BC1FD14" w14:textId="463534E6" w:rsidR="004B5344" w:rsidRPr="00565E1C" w:rsidRDefault="004B5344" w:rsidP="00565E1C">
      <w:pPr>
        <w:tabs>
          <w:tab w:val="right" w:leader="dot" w:pos="7920"/>
        </w:tabs>
        <w:suppressAutoHyphens/>
        <w:spacing w:before="120" w:after="120" w:line="288" w:lineRule="auto"/>
        <w:ind w:firstLine="567"/>
        <w:jc w:val="both"/>
        <w:rPr>
          <w:b/>
          <w:lang w:val="vi-VN" w:eastAsia="zh-CN"/>
        </w:rPr>
      </w:pPr>
      <w:r w:rsidRPr="00565E1C">
        <w:rPr>
          <w:b/>
          <w:lang w:val="vi-VN" w:eastAsia="zh-CN"/>
        </w:rPr>
        <w:t>III. QUÁ TRÌNH XÂY DỰNG VĂN BẢN</w:t>
      </w:r>
    </w:p>
    <w:p w14:paraId="6C16C7B9" w14:textId="6B068DC0" w:rsidR="004B5344" w:rsidRPr="00565E1C" w:rsidRDefault="008C5ACF" w:rsidP="00565E1C">
      <w:pPr>
        <w:tabs>
          <w:tab w:val="right" w:leader="dot" w:pos="7920"/>
        </w:tabs>
        <w:suppressAutoHyphens/>
        <w:spacing w:before="120" w:after="120" w:line="288" w:lineRule="auto"/>
        <w:ind w:firstLine="567"/>
        <w:jc w:val="both"/>
        <w:rPr>
          <w:lang w:val="vi-VN" w:eastAsia="zh-CN"/>
        </w:rPr>
      </w:pPr>
      <w:r>
        <w:rPr>
          <w:lang w:eastAsia="zh-CN"/>
        </w:rPr>
        <w:t>Bộ Tư pháp</w:t>
      </w:r>
      <w:r w:rsidR="004B5344" w:rsidRPr="00565E1C">
        <w:rPr>
          <w:lang w:val="vi-VN" w:eastAsia="zh-CN"/>
        </w:rPr>
        <w:t xml:space="preserve"> đã chủ trì, phối hợp với các cơ quan liên quan thực hiện các công việc sau: </w:t>
      </w:r>
    </w:p>
    <w:p w14:paraId="40F904C9" w14:textId="38C31E06" w:rsidR="004B5344" w:rsidRPr="00565E1C" w:rsidRDefault="004B5344" w:rsidP="00565E1C">
      <w:pPr>
        <w:tabs>
          <w:tab w:val="right" w:leader="dot" w:pos="7920"/>
        </w:tabs>
        <w:suppressAutoHyphens/>
        <w:spacing w:before="120" w:after="120" w:line="288" w:lineRule="auto"/>
        <w:ind w:firstLine="567"/>
        <w:jc w:val="both"/>
        <w:rPr>
          <w:color w:val="000000" w:themeColor="text1"/>
          <w:lang w:val="vi-VN" w:eastAsia="zh-CN"/>
        </w:rPr>
      </w:pPr>
      <w:r w:rsidRPr="00565E1C">
        <w:rPr>
          <w:color w:val="000000" w:themeColor="text1"/>
          <w:lang w:val="vi-VN" w:eastAsia="zh-CN"/>
        </w:rPr>
        <w:t xml:space="preserve">1. </w:t>
      </w:r>
      <w:r w:rsidR="00437659" w:rsidRPr="00565E1C">
        <w:rPr>
          <w:bCs/>
        </w:rPr>
        <w:t>Thực hiện ý kiến chỉ đạo của Phó Thủ tướng Chính phủ Phạm Thị Thanh Trà tại Công văn số 12778/VPCP-KSTT ngày 26/12/2025 của Văn phòng Chính phủ về việc giao Bộ Tư pháp nghiên cứu, xây dựng Nghị định thay thế các Nghị định về kiểm soát thủ tục hành chính, trình Chính phủ trong Quý II năm 2026 để bảo đảm phù hợp với quy định của Luật Ban hành văn bản quy phạm pháp luật, Luật Tổ chức chính quyền địa phương và bảo đảm triển khai thống nhất, toàn diện sau khi chuyển chức năng, nhiệm vụ kiểm soát TTHC từ Văn phòng Chính phủ sang Bộ Tư pháp, Bộ Tư pháp</w:t>
      </w:r>
      <w:r w:rsidR="00437659" w:rsidRPr="00085C97">
        <w:rPr>
          <w:bCs/>
        </w:rPr>
        <w:t xml:space="preserve"> </w:t>
      </w:r>
      <w:r w:rsidR="00B70F22" w:rsidRPr="00085C97">
        <w:rPr>
          <w:bCs/>
        </w:rPr>
        <w:t>đã thành</w:t>
      </w:r>
      <w:r w:rsidR="00B70F22" w:rsidRPr="00565E1C">
        <w:rPr>
          <w:bCs/>
          <w:color w:val="000000" w:themeColor="text1"/>
          <w:lang w:val="vi-VN" w:eastAsia="zh-CN"/>
        </w:rPr>
        <w:t xml:space="preserve"> lập </w:t>
      </w:r>
      <w:r w:rsidR="00B6251C" w:rsidRPr="00565E1C">
        <w:rPr>
          <w:bCs/>
          <w:color w:val="000000" w:themeColor="text1"/>
          <w:lang w:val="vi-VN" w:eastAsia="zh-CN"/>
        </w:rPr>
        <w:t>Tổ</w:t>
      </w:r>
      <w:r w:rsidR="00B70F22" w:rsidRPr="00565E1C">
        <w:rPr>
          <w:bCs/>
          <w:color w:val="000000" w:themeColor="text1"/>
          <w:lang w:val="vi-VN" w:eastAsia="zh-CN"/>
        </w:rPr>
        <w:t xml:space="preserve"> soạn thảo</w:t>
      </w:r>
      <w:r w:rsidR="00B6251C" w:rsidRPr="00565E1C">
        <w:rPr>
          <w:bCs/>
          <w:color w:val="000000" w:themeColor="text1"/>
          <w:lang w:val="vi-VN" w:eastAsia="zh-CN"/>
        </w:rPr>
        <w:t xml:space="preserve"> </w:t>
      </w:r>
      <w:r w:rsidR="00B70F22" w:rsidRPr="00565E1C">
        <w:rPr>
          <w:bCs/>
          <w:color w:val="000000" w:themeColor="text1"/>
          <w:lang w:val="vi-VN" w:eastAsia="zh-CN"/>
        </w:rPr>
        <w:t xml:space="preserve">xây dựng dự thảo Nghị định </w:t>
      </w:r>
      <w:r w:rsidR="00437659" w:rsidRPr="00565E1C">
        <w:rPr>
          <w:bCs/>
          <w:color w:val="000000" w:themeColor="text1"/>
          <w:lang w:eastAsia="zh-CN"/>
        </w:rPr>
        <w:t xml:space="preserve">thay thế Nghị định số 63/2010/NĐ-CP, </w:t>
      </w:r>
      <w:r w:rsidR="00B70F22" w:rsidRPr="00565E1C">
        <w:rPr>
          <w:bCs/>
          <w:color w:val="000000" w:themeColor="text1"/>
          <w:lang w:val="vi-VN" w:eastAsia="zh-CN"/>
        </w:rPr>
        <w:t xml:space="preserve">có thành phần đại diện một số Bộ, ngành, địa phương (Quyết định số </w:t>
      </w:r>
      <w:r w:rsidR="00B6251C" w:rsidRPr="00565E1C">
        <w:rPr>
          <w:bCs/>
          <w:color w:val="000000" w:themeColor="text1"/>
          <w:lang w:val="vi-VN" w:eastAsia="zh-CN"/>
        </w:rPr>
        <w:t>….</w:t>
      </w:r>
      <w:r w:rsidR="00B70F22" w:rsidRPr="00565E1C">
        <w:rPr>
          <w:bCs/>
          <w:color w:val="000000" w:themeColor="text1"/>
          <w:lang w:val="vi-VN" w:eastAsia="zh-CN"/>
        </w:rPr>
        <w:t>/QĐ-</w:t>
      </w:r>
      <w:r w:rsidR="00437659" w:rsidRPr="00565E1C">
        <w:rPr>
          <w:bCs/>
          <w:color w:val="000000" w:themeColor="text1"/>
          <w:lang w:eastAsia="zh-CN"/>
        </w:rPr>
        <w:t>BTP</w:t>
      </w:r>
      <w:r w:rsidR="00B70F22" w:rsidRPr="00565E1C">
        <w:rPr>
          <w:bCs/>
          <w:color w:val="000000" w:themeColor="text1"/>
          <w:lang w:val="vi-VN" w:eastAsia="zh-CN"/>
        </w:rPr>
        <w:t xml:space="preserve"> ngày </w:t>
      </w:r>
      <w:r w:rsidR="00B6251C" w:rsidRPr="00565E1C">
        <w:rPr>
          <w:bCs/>
          <w:color w:val="000000" w:themeColor="text1"/>
          <w:lang w:val="vi-VN" w:eastAsia="zh-CN"/>
        </w:rPr>
        <w:t>…</w:t>
      </w:r>
      <w:r w:rsidR="00B70F22" w:rsidRPr="00565E1C">
        <w:rPr>
          <w:bCs/>
          <w:color w:val="000000" w:themeColor="text1"/>
          <w:lang w:val="vi-VN" w:eastAsia="zh-CN"/>
        </w:rPr>
        <w:t xml:space="preserve"> tháng  năm 20</w:t>
      </w:r>
      <w:r w:rsidR="00B6251C" w:rsidRPr="00565E1C">
        <w:rPr>
          <w:bCs/>
          <w:color w:val="000000" w:themeColor="text1"/>
          <w:lang w:val="vi-VN" w:eastAsia="zh-CN"/>
        </w:rPr>
        <w:t>2</w:t>
      </w:r>
      <w:r w:rsidR="00437659" w:rsidRPr="00565E1C">
        <w:rPr>
          <w:bCs/>
          <w:color w:val="000000" w:themeColor="text1"/>
          <w:lang w:eastAsia="zh-CN"/>
        </w:rPr>
        <w:t>6</w:t>
      </w:r>
      <w:r w:rsidR="00B70F22" w:rsidRPr="00565E1C">
        <w:rPr>
          <w:bCs/>
          <w:color w:val="000000" w:themeColor="text1"/>
          <w:lang w:val="vi-VN" w:eastAsia="zh-CN"/>
        </w:rPr>
        <w:t xml:space="preserve"> của </w:t>
      </w:r>
      <w:r w:rsidR="00437659" w:rsidRPr="00565E1C">
        <w:rPr>
          <w:bCs/>
          <w:color w:val="000000" w:themeColor="text1"/>
          <w:lang w:eastAsia="zh-CN"/>
        </w:rPr>
        <w:t>Bộ Tư pháp</w:t>
      </w:r>
      <w:r w:rsidR="00B70F22" w:rsidRPr="00565E1C">
        <w:rPr>
          <w:bCs/>
          <w:color w:val="000000" w:themeColor="text1"/>
          <w:lang w:val="vi-VN" w:eastAsia="zh-CN"/>
        </w:rPr>
        <w:t xml:space="preserve">) và tổ chức họp </w:t>
      </w:r>
      <w:r w:rsidR="00B6251C" w:rsidRPr="00565E1C">
        <w:rPr>
          <w:bCs/>
          <w:color w:val="000000" w:themeColor="text1"/>
          <w:lang w:val="vi-VN" w:eastAsia="zh-CN"/>
        </w:rPr>
        <w:t>Tổ</w:t>
      </w:r>
      <w:r w:rsidR="00B70F22" w:rsidRPr="00565E1C">
        <w:rPr>
          <w:bCs/>
          <w:color w:val="000000" w:themeColor="text1"/>
          <w:lang w:val="vi-VN" w:eastAsia="zh-CN"/>
        </w:rPr>
        <w:t xml:space="preserve"> soạn thảo để nghiên cứu, triển khai xây dựng dự thảo Nghị định.</w:t>
      </w:r>
      <w:r w:rsidR="00B6251C" w:rsidRPr="00565E1C">
        <w:rPr>
          <w:bCs/>
          <w:color w:val="000000" w:themeColor="text1"/>
          <w:lang w:val="vi-VN" w:eastAsia="zh-CN"/>
        </w:rPr>
        <w:t xml:space="preserve"> </w:t>
      </w:r>
    </w:p>
    <w:p w14:paraId="2C39612C" w14:textId="10820F51" w:rsidR="004B5344" w:rsidRPr="007C13E5" w:rsidRDefault="004B5344" w:rsidP="00565E1C">
      <w:pPr>
        <w:tabs>
          <w:tab w:val="right" w:leader="dot" w:pos="7920"/>
        </w:tabs>
        <w:suppressAutoHyphens/>
        <w:spacing w:before="120" w:after="120" w:line="288" w:lineRule="auto"/>
        <w:ind w:firstLine="567"/>
        <w:jc w:val="both"/>
        <w:rPr>
          <w:color w:val="000000" w:themeColor="text1"/>
          <w:lang w:val="vi-VN" w:eastAsia="zh-CN"/>
        </w:rPr>
      </w:pPr>
      <w:r w:rsidRPr="007C13E5">
        <w:rPr>
          <w:color w:val="000000" w:themeColor="text1"/>
          <w:lang w:val="vi-VN" w:eastAsia="zh-CN"/>
        </w:rPr>
        <w:t xml:space="preserve">2. </w:t>
      </w:r>
      <w:r w:rsidR="00B6251C" w:rsidRPr="007C13E5">
        <w:rPr>
          <w:color w:val="000000" w:themeColor="text1"/>
          <w:lang w:val="vi-VN" w:eastAsia="zh-CN"/>
        </w:rPr>
        <w:t>Tổ chức l</w:t>
      </w:r>
      <w:r w:rsidRPr="007C13E5">
        <w:rPr>
          <w:color w:val="000000" w:themeColor="text1"/>
          <w:lang w:val="vi-VN" w:eastAsia="zh-CN"/>
        </w:rPr>
        <w:t xml:space="preserve">ấy ý kiến </w:t>
      </w:r>
      <w:r w:rsidR="00437659" w:rsidRPr="007C13E5">
        <w:rPr>
          <w:color w:val="000000" w:themeColor="text1"/>
          <w:lang w:eastAsia="zh-CN"/>
        </w:rPr>
        <w:t>….</w:t>
      </w:r>
      <w:r w:rsidRPr="007C13E5">
        <w:rPr>
          <w:color w:val="000000" w:themeColor="text1"/>
          <w:lang w:val="vi-VN" w:eastAsia="zh-CN"/>
        </w:rPr>
        <w:t xml:space="preserve">bộ, cơ quan ngang bộ và </w:t>
      </w:r>
      <w:r w:rsidR="00B6251C" w:rsidRPr="007C13E5">
        <w:rPr>
          <w:color w:val="000000" w:themeColor="text1"/>
          <w:lang w:val="vi-VN" w:eastAsia="zh-CN"/>
        </w:rPr>
        <w:t>34</w:t>
      </w:r>
      <w:r w:rsidRPr="007C13E5">
        <w:rPr>
          <w:color w:val="000000" w:themeColor="text1"/>
          <w:lang w:val="vi-VN" w:eastAsia="zh-CN"/>
        </w:rPr>
        <w:t xml:space="preserve"> địa phương về hồ sơ dự thảo Nghị định (Công văn số</w:t>
      </w:r>
      <w:r w:rsidR="00437659" w:rsidRPr="007C13E5">
        <w:rPr>
          <w:color w:val="000000" w:themeColor="text1"/>
          <w:lang w:eastAsia="zh-CN"/>
        </w:rPr>
        <w:t>….</w:t>
      </w:r>
      <w:r w:rsidRPr="007C13E5">
        <w:rPr>
          <w:color w:val="000000" w:themeColor="text1"/>
          <w:lang w:val="vi-VN" w:eastAsia="zh-CN"/>
        </w:rPr>
        <w:t>).</w:t>
      </w:r>
      <w:r w:rsidR="00B6251C" w:rsidRPr="007C13E5">
        <w:rPr>
          <w:color w:val="000000" w:themeColor="text1"/>
          <w:lang w:val="vi-VN" w:eastAsia="zh-CN"/>
        </w:rPr>
        <w:t xml:space="preserve"> Đăng tải hồ sơ dự thảo trên Cổng </w:t>
      </w:r>
      <w:r w:rsidR="00437659" w:rsidRPr="007C13E5">
        <w:rPr>
          <w:color w:val="000000" w:themeColor="text1"/>
          <w:lang w:eastAsia="zh-CN"/>
        </w:rPr>
        <w:t xml:space="preserve">Thông tin điện tử của Bộ Tư pháp </w:t>
      </w:r>
      <w:r w:rsidR="00B6251C" w:rsidRPr="007C13E5">
        <w:rPr>
          <w:color w:val="000000" w:themeColor="text1"/>
          <w:lang w:val="vi-VN" w:eastAsia="zh-CN"/>
        </w:rPr>
        <w:t>để lấy ý kiến.</w:t>
      </w:r>
    </w:p>
    <w:p w14:paraId="305199C5" w14:textId="4EA89A69" w:rsidR="004B5344" w:rsidRPr="007C13E5" w:rsidRDefault="004B5344" w:rsidP="00565E1C">
      <w:pPr>
        <w:tabs>
          <w:tab w:val="right" w:leader="dot" w:pos="7920"/>
        </w:tabs>
        <w:suppressAutoHyphens/>
        <w:spacing w:before="120" w:after="120" w:line="288" w:lineRule="auto"/>
        <w:ind w:firstLine="567"/>
        <w:jc w:val="both"/>
        <w:rPr>
          <w:color w:val="000000" w:themeColor="text1"/>
          <w:lang w:val="vi-VN" w:eastAsia="zh-CN"/>
        </w:rPr>
      </w:pPr>
      <w:r w:rsidRPr="007C13E5">
        <w:rPr>
          <w:color w:val="000000" w:themeColor="text1"/>
          <w:lang w:val="vi-VN" w:eastAsia="zh-CN"/>
        </w:rPr>
        <w:tab/>
        <w:t xml:space="preserve">3. Căn cứ ý kiến góp ý của các ban, bộ, ngành, địa phương, </w:t>
      </w:r>
      <w:r w:rsidR="00437659" w:rsidRPr="007C13E5">
        <w:rPr>
          <w:color w:val="000000" w:themeColor="text1"/>
          <w:lang w:eastAsia="zh-CN"/>
        </w:rPr>
        <w:t>Bộ Tư pháp</w:t>
      </w:r>
      <w:r w:rsidRPr="007C13E5">
        <w:rPr>
          <w:color w:val="000000" w:themeColor="text1"/>
          <w:lang w:val="vi-VN" w:eastAsia="zh-CN"/>
        </w:rPr>
        <w:t xml:space="preserve"> đã tổng hợp nghiên cứu, tiếp thu, giải trình, chỉnh lý hồ sơ dự thảo Nghị định. </w:t>
      </w:r>
      <w:r w:rsidR="00B6251C" w:rsidRPr="007C13E5">
        <w:rPr>
          <w:color w:val="000000" w:themeColor="text1"/>
          <w:lang w:val="vi-VN" w:eastAsia="zh-CN"/>
        </w:rPr>
        <w:t xml:space="preserve">Theo đó, đã có …/… cơ quan (chiếm …%) nhất trí về sự cần thiết ban hành và nội dung dự thảo Nghị định. Các ý kiến góp ý cụ thể đã được </w:t>
      </w:r>
      <w:r w:rsidR="00437659" w:rsidRPr="007C13E5">
        <w:rPr>
          <w:color w:val="000000" w:themeColor="text1"/>
          <w:lang w:eastAsia="zh-CN"/>
        </w:rPr>
        <w:t>Bộ Tư pháp</w:t>
      </w:r>
      <w:r w:rsidR="00437659" w:rsidRPr="007C13E5">
        <w:rPr>
          <w:color w:val="000000" w:themeColor="text1"/>
          <w:lang w:val="vi-VN" w:eastAsia="zh-CN"/>
        </w:rPr>
        <w:t xml:space="preserve"> </w:t>
      </w:r>
      <w:r w:rsidR="00B6251C" w:rsidRPr="007C13E5">
        <w:rPr>
          <w:color w:val="000000" w:themeColor="text1"/>
          <w:lang w:val="vi-VN" w:eastAsia="zh-CN"/>
        </w:rPr>
        <w:t xml:space="preserve"> nghiên cứu, tiếp thu, giải trình, hoàn thiện dự thảo (</w:t>
      </w:r>
      <w:r w:rsidR="00B6251C" w:rsidRPr="007C13E5">
        <w:rPr>
          <w:i/>
          <w:iCs/>
          <w:color w:val="000000" w:themeColor="text1"/>
          <w:lang w:val="vi-VN" w:eastAsia="zh-CN"/>
        </w:rPr>
        <w:t>Bảng tổng hợp kèm theo</w:t>
      </w:r>
      <w:r w:rsidR="00B6251C" w:rsidRPr="007C13E5">
        <w:rPr>
          <w:color w:val="000000" w:themeColor="text1"/>
          <w:lang w:val="vi-VN" w:eastAsia="zh-CN"/>
        </w:rPr>
        <w:t>).</w:t>
      </w:r>
    </w:p>
    <w:p w14:paraId="4584EAAA" w14:textId="53C00BFD" w:rsidR="004B5344" w:rsidRPr="007C13E5" w:rsidRDefault="004B5344" w:rsidP="00565E1C">
      <w:pPr>
        <w:tabs>
          <w:tab w:val="right" w:leader="dot" w:pos="7920"/>
        </w:tabs>
        <w:suppressAutoHyphens/>
        <w:spacing w:before="120" w:after="120" w:line="288" w:lineRule="auto"/>
        <w:ind w:firstLine="567"/>
        <w:jc w:val="both"/>
        <w:rPr>
          <w:color w:val="000000" w:themeColor="text1"/>
          <w:lang w:val="vi-VN" w:eastAsia="zh-CN"/>
        </w:rPr>
      </w:pPr>
      <w:r w:rsidRPr="007C13E5">
        <w:rPr>
          <w:color w:val="000000" w:themeColor="text1"/>
          <w:lang w:val="vi-VN" w:eastAsia="zh-CN"/>
        </w:rPr>
        <w:t xml:space="preserve">4. Gửi Hồ sơ dự thảo Nghị định để thẩm định (Công văn số </w:t>
      </w:r>
      <w:r w:rsidR="00B6251C" w:rsidRPr="007C13E5">
        <w:rPr>
          <w:rFonts w:eastAsia="SimSun"/>
          <w:color w:val="000000" w:themeColor="text1"/>
          <w:lang w:val="vi-VN" w:eastAsia="zh-CN"/>
        </w:rPr>
        <w:t>…</w:t>
      </w:r>
      <w:r w:rsidRPr="007C13E5">
        <w:rPr>
          <w:rFonts w:eastAsia="SimSun"/>
          <w:color w:val="000000" w:themeColor="text1"/>
          <w:lang w:val="vi-VN" w:eastAsia="zh-CN"/>
        </w:rPr>
        <w:t>/-KSTT</w:t>
      </w:r>
      <w:r w:rsidRPr="007C13E5">
        <w:rPr>
          <w:color w:val="000000" w:themeColor="text1"/>
          <w:spacing w:val="2"/>
          <w:lang w:val="nl-NL" w:eastAsia="zh-CN"/>
        </w:rPr>
        <w:t xml:space="preserve"> n</w:t>
      </w:r>
      <w:r w:rsidRPr="007C13E5">
        <w:rPr>
          <w:color w:val="000000" w:themeColor="text1"/>
          <w:spacing w:val="2"/>
          <w:lang w:val="vi-VN" w:eastAsia="zh-CN"/>
        </w:rPr>
        <w:t xml:space="preserve">gày </w:t>
      </w:r>
      <w:r w:rsidR="00B6251C" w:rsidRPr="007C13E5">
        <w:rPr>
          <w:color w:val="000000" w:themeColor="text1"/>
          <w:spacing w:val="2"/>
          <w:lang w:val="vi-VN" w:eastAsia="zh-CN"/>
        </w:rPr>
        <w:t>…/...</w:t>
      </w:r>
      <w:r w:rsidRPr="007C13E5">
        <w:rPr>
          <w:color w:val="000000" w:themeColor="text1"/>
          <w:spacing w:val="2"/>
          <w:lang w:val="vi-VN" w:eastAsia="zh-CN"/>
        </w:rPr>
        <w:t>/202</w:t>
      </w:r>
      <w:r w:rsidR="00437659" w:rsidRPr="007C13E5">
        <w:rPr>
          <w:color w:val="000000" w:themeColor="text1"/>
          <w:spacing w:val="2"/>
          <w:lang w:eastAsia="zh-CN"/>
        </w:rPr>
        <w:t>6</w:t>
      </w:r>
      <w:r w:rsidRPr="007C13E5">
        <w:rPr>
          <w:color w:val="000000" w:themeColor="text1"/>
          <w:spacing w:val="2"/>
          <w:lang w:val="vi-VN" w:eastAsia="zh-CN"/>
        </w:rPr>
        <w:t>)</w:t>
      </w:r>
      <w:r w:rsidRPr="007C13E5">
        <w:rPr>
          <w:color w:val="000000" w:themeColor="text1"/>
          <w:lang w:val="vi-VN" w:eastAsia="zh-CN"/>
        </w:rPr>
        <w:t xml:space="preserve">. </w:t>
      </w:r>
    </w:p>
    <w:p w14:paraId="172B5C45" w14:textId="537D20D1" w:rsidR="004B5344" w:rsidRPr="00565E1C" w:rsidRDefault="004B5344" w:rsidP="00565E1C">
      <w:pPr>
        <w:tabs>
          <w:tab w:val="right" w:leader="dot" w:pos="7920"/>
        </w:tabs>
        <w:suppressAutoHyphens/>
        <w:spacing w:before="120" w:after="120" w:line="288" w:lineRule="auto"/>
        <w:ind w:firstLine="567"/>
        <w:jc w:val="both"/>
        <w:rPr>
          <w:lang w:val="vi-VN" w:eastAsia="zh-CN"/>
        </w:rPr>
      </w:pPr>
      <w:r w:rsidRPr="007C13E5">
        <w:rPr>
          <w:color w:val="000000" w:themeColor="text1"/>
          <w:lang w:val="vi-VN" w:eastAsia="zh-CN"/>
        </w:rPr>
        <w:tab/>
      </w:r>
      <w:r w:rsidRPr="007C13E5">
        <w:rPr>
          <w:color w:val="000000" w:themeColor="text1"/>
          <w:spacing w:val="-4"/>
          <w:lang w:val="vi-VN" w:eastAsia="zh-CN"/>
        </w:rPr>
        <w:t xml:space="preserve">5. </w:t>
      </w:r>
      <w:r w:rsidR="00B6251C" w:rsidRPr="007C13E5">
        <w:rPr>
          <w:color w:val="000000" w:themeColor="text1"/>
          <w:spacing w:val="-4"/>
          <w:lang w:val="vi-VN" w:eastAsia="zh-CN"/>
        </w:rPr>
        <w:t>Ngày …/…/202</w:t>
      </w:r>
      <w:r w:rsidR="00437659" w:rsidRPr="007C13E5">
        <w:rPr>
          <w:color w:val="000000" w:themeColor="text1"/>
          <w:spacing w:val="-4"/>
          <w:lang w:eastAsia="zh-CN"/>
        </w:rPr>
        <w:t>6</w:t>
      </w:r>
      <w:r w:rsidR="00B6251C" w:rsidRPr="007C13E5">
        <w:rPr>
          <w:color w:val="000000" w:themeColor="text1"/>
          <w:spacing w:val="-4"/>
          <w:lang w:val="vi-VN" w:eastAsia="zh-CN"/>
        </w:rPr>
        <w:t xml:space="preserve">, </w:t>
      </w:r>
      <w:r w:rsidR="00437659" w:rsidRPr="007C13E5">
        <w:rPr>
          <w:color w:val="000000" w:themeColor="text1"/>
          <w:spacing w:val="-4"/>
          <w:lang w:eastAsia="zh-CN"/>
        </w:rPr>
        <w:t xml:space="preserve">Hội đồng thẩm định </w:t>
      </w:r>
      <w:r w:rsidR="00B6251C" w:rsidRPr="007C13E5">
        <w:rPr>
          <w:color w:val="000000" w:themeColor="text1"/>
          <w:spacing w:val="-4"/>
          <w:lang w:val="vi-VN" w:eastAsia="zh-CN"/>
        </w:rPr>
        <w:t>đã có Báo cáo thẩm định số …/BCTĐ-BTP về dự thảo Nghị định. T</w:t>
      </w:r>
      <w:r w:rsidR="00B6251C" w:rsidRPr="00565E1C">
        <w:rPr>
          <w:spacing w:val="-4"/>
          <w:lang w:val="vi-VN" w:eastAsia="zh-CN"/>
        </w:rPr>
        <w:t xml:space="preserve">rên cơ sở ý kiến góp ý và thẩm định, </w:t>
      </w:r>
      <w:r w:rsidR="00437659" w:rsidRPr="00565E1C">
        <w:rPr>
          <w:lang w:eastAsia="zh-CN"/>
        </w:rPr>
        <w:t>Bộ Tư pháp</w:t>
      </w:r>
      <w:r w:rsidR="00437659" w:rsidRPr="00565E1C">
        <w:rPr>
          <w:lang w:val="vi-VN" w:eastAsia="zh-CN"/>
        </w:rPr>
        <w:t xml:space="preserve"> </w:t>
      </w:r>
      <w:r w:rsidR="00B6251C" w:rsidRPr="00565E1C">
        <w:rPr>
          <w:spacing w:val="-4"/>
          <w:lang w:val="vi-VN" w:eastAsia="zh-CN"/>
        </w:rPr>
        <w:t>đã tiếp thu, giải trình và hoàn thiện dự thảo Nghị định để trình Chính phủ</w:t>
      </w:r>
      <w:r w:rsidRPr="00565E1C">
        <w:rPr>
          <w:lang w:val="vi-VN" w:eastAsia="zh-CN"/>
        </w:rPr>
        <w:t xml:space="preserve">. </w:t>
      </w:r>
    </w:p>
    <w:p w14:paraId="757F74BE" w14:textId="77777777" w:rsidR="004B5344" w:rsidRPr="00565E1C" w:rsidRDefault="004B5344" w:rsidP="00565E1C">
      <w:pPr>
        <w:tabs>
          <w:tab w:val="right" w:leader="dot" w:pos="7920"/>
        </w:tabs>
        <w:suppressAutoHyphens/>
        <w:spacing w:before="120" w:after="120" w:line="288" w:lineRule="auto"/>
        <w:ind w:firstLine="567"/>
        <w:jc w:val="both"/>
        <w:rPr>
          <w:b/>
          <w:spacing w:val="4"/>
          <w:lang w:val="vi-VN" w:eastAsia="zh-CN"/>
        </w:rPr>
      </w:pPr>
      <w:r w:rsidRPr="00565E1C">
        <w:rPr>
          <w:b/>
          <w:spacing w:val="-6"/>
          <w:lang w:val="vi-VN" w:eastAsia="zh-CN"/>
        </w:rPr>
        <w:t>I</w:t>
      </w:r>
      <w:r w:rsidRPr="00565E1C">
        <w:rPr>
          <w:b/>
          <w:spacing w:val="4"/>
          <w:lang w:val="vi-VN" w:eastAsia="zh-CN"/>
        </w:rPr>
        <w:t>V. BỐ CỤC VÀ NỘI DUNG CƠ BẢN CỦA VĂN BẢN</w:t>
      </w:r>
    </w:p>
    <w:p w14:paraId="1D441725" w14:textId="77777777" w:rsidR="00C80848" w:rsidRPr="00565E1C" w:rsidRDefault="00C80848" w:rsidP="00565E1C">
      <w:pPr>
        <w:pStyle w:val="Heading3"/>
        <w:spacing w:before="120" w:after="120" w:line="288" w:lineRule="auto"/>
        <w:ind w:firstLine="540"/>
        <w:rPr>
          <w:rFonts w:ascii="Times New Roman" w:hAnsi="Times New Roman" w:cs="Times New Roman"/>
          <w:b/>
          <w:color w:val="000000" w:themeColor="text1"/>
          <w:sz w:val="28"/>
          <w:szCs w:val="28"/>
        </w:rPr>
      </w:pPr>
      <w:r w:rsidRPr="00565E1C">
        <w:rPr>
          <w:rFonts w:ascii="Times New Roman" w:hAnsi="Times New Roman" w:cs="Times New Roman"/>
          <w:b/>
          <w:color w:val="000000" w:themeColor="text1"/>
          <w:sz w:val="28"/>
          <w:szCs w:val="28"/>
        </w:rPr>
        <w:t>1. Phạm vi điều chỉnh, đối tượng áp dụng</w:t>
      </w:r>
    </w:p>
    <w:p w14:paraId="5838957F" w14:textId="77777777" w:rsidR="00C80848" w:rsidRPr="00565E1C" w:rsidRDefault="00C80848" w:rsidP="00565E1C">
      <w:pPr>
        <w:pStyle w:val="NormalWeb"/>
        <w:spacing w:after="120" w:line="288" w:lineRule="auto"/>
      </w:pPr>
      <w:r w:rsidRPr="00565E1C">
        <w:t>a) Phạm vi điều chỉnh</w:t>
      </w:r>
    </w:p>
    <w:p w14:paraId="0DCC05AD" w14:textId="77777777" w:rsidR="00C80848" w:rsidRPr="00565E1C" w:rsidRDefault="00C80848" w:rsidP="00565E1C">
      <w:pPr>
        <w:pStyle w:val="NormalWeb"/>
        <w:spacing w:after="120" w:line="288" w:lineRule="auto"/>
      </w:pPr>
      <w:r w:rsidRPr="00565E1C">
        <w:lastRenderedPageBreak/>
        <w:t>Dự thảo Nghị định quy định về kiểm soát thủ tục hành chính, bao gồm: quy định thủ tục hành chính; đánh giá tác động thủ tục hành chính; thẩm định, công bố, công khai thủ tục hành chính; tổ chức thực hiện thủ tục hành chính; rà soát, đánh giá thủ tục hành chính; tiếp nhận, xử lý phản ánh, kiến nghị; quản lý và khai thác Cơ sở dữ liệu quốc gia về thủ tục hành chính; trách nhiệm của các cơ quan, tổ chức, cá nhân trong hoạt động kiểm soát thủ tục hành chính.</w:t>
      </w:r>
    </w:p>
    <w:p w14:paraId="3F0EC0ED" w14:textId="77777777" w:rsidR="00354025" w:rsidRPr="00565E1C" w:rsidRDefault="00C80848" w:rsidP="00565E1C">
      <w:pPr>
        <w:pStyle w:val="NormalWeb"/>
        <w:spacing w:after="120" w:line="288" w:lineRule="auto"/>
      </w:pPr>
      <w:r w:rsidRPr="00565E1C">
        <w:t>b) Đối tượng áp dụng</w:t>
      </w:r>
    </w:p>
    <w:p w14:paraId="46704A7E" w14:textId="00F4813D" w:rsidR="00354025" w:rsidRPr="00565E1C" w:rsidRDefault="00354025" w:rsidP="00565E1C">
      <w:pPr>
        <w:pStyle w:val="NormalWeb"/>
        <w:spacing w:after="120" w:line="288" w:lineRule="auto"/>
      </w:pPr>
      <w:r w:rsidRPr="00565E1C">
        <w:rPr>
          <w:color w:val="000000"/>
        </w:rPr>
        <w:t>Nghị định này áp dụng đối với cơ quan hành chính nhà nước, người có thẩm quyền, tổ chức, cá nhân trong hoạt động kiểm soát thủ tục hành chính.</w:t>
      </w:r>
    </w:p>
    <w:p w14:paraId="33F39C16" w14:textId="77777777" w:rsidR="00C80848" w:rsidRPr="00565E1C" w:rsidRDefault="00C80848" w:rsidP="00565E1C">
      <w:pPr>
        <w:pStyle w:val="Heading3"/>
        <w:spacing w:before="120" w:after="120" w:line="288" w:lineRule="auto"/>
        <w:ind w:firstLine="540"/>
        <w:rPr>
          <w:rFonts w:ascii="Times New Roman" w:hAnsi="Times New Roman" w:cs="Times New Roman"/>
          <w:color w:val="000000" w:themeColor="text1"/>
          <w:sz w:val="28"/>
          <w:szCs w:val="28"/>
        </w:rPr>
      </w:pPr>
      <w:r w:rsidRPr="00565E1C">
        <w:rPr>
          <w:rFonts w:ascii="Times New Roman" w:hAnsi="Times New Roman" w:cs="Times New Roman"/>
          <w:color w:val="000000" w:themeColor="text1"/>
          <w:sz w:val="28"/>
          <w:szCs w:val="28"/>
        </w:rPr>
        <w:t>2. Bố cục của dự thảo Nghị định</w:t>
      </w:r>
    </w:p>
    <w:p w14:paraId="23B7B715" w14:textId="77777777" w:rsidR="00C80848" w:rsidRPr="00565E1C" w:rsidRDefault="00C80848" w:rsidP="00565E1C">
      <w:pPr>
        <w:pStyle w:val="NormalWeb"/>
        <w:spacing w:after="120" w:line="288" w:lineRule="auto"/>
      </w:pPr>
      <w:r w:rsidRPr="00565E1C">
        <w:t>Dự thảo Nghị định cơ bản kế thừa bố cục của Nghị định số 63/2010/NĐ-CP và các văn bản sửa đổi, bổ sung, đồng thời bổ sung một số nội dung mới về quản trị thủ tục hành chính hiện đại, chuyển đổi số, quản lý rủi ro và phân cấp, phân quyền trong quy định thủ tục hành chính.</w:t>
      </w:r>
    </w:p>
    <w:p w14:paraId="59F77838" w14:textId="5C12393F" w:rsidR="00C80848" w:rsidRDefault="00C80848" w:rsidP="00565E1C">
      <w:pPr>
        <w:pStyle w:val="NormalWeb"/>
        <w:spacing w:after="120" w:line="288" w:lineRule="auto"/>
      </w:pPr>
      <w:r w:rsidRPr="00565E1C">
        <w:t>Dự thảo gồm các chương quy định về:</w:t>
      </w:r>
    </w:p>
    <w:p w14:paraId="126E2D42" w14:textId="0D015D6E" w:rsidR="001F2956" w:rsidRPr="00112D36" w:rsidRDefault="001F2956" w:rsidP="001F2956">
      <w:pPr>
        <w:spacing w:before="120" w:line="288" w:lineRule="auto"/>
        <w:ind w:firstLine="545"/>
        <w:jc w:val="both"/>
        <w:rPr>
          <w:b/>
          <w:lang w:val="vi-VN"/>
        </w:rPr>
      </w:pPr>
      <w:r w:rsidRPr="00112D36">
        <w:rPr>
          <w:b/>
          <w:bCs/>
          <w:iCs/>
          <w:lang w:val="vi-VN"/>
        </w:rPr>
        <w:t>Chương I.</w:t>
      </w:r>
      <w:r w:rsidRPr="00112D36">
        <w:rPr>
          <w:b/>
          <w:lang w:val="vi-VN"/>
        </w:rPr>
        <w:t xml:space="preserve"> Những quy </w:t>
      </w:r>
      <w:r w:rsidR="00F568F2">
        <w:rPr>
          <w:b/>
          <w:lang w:val="vi-VN"/>
        </w:rPr>
        <w:t xml:space="preserve">định chung (từ Điều 1 đến Điều </w:t>
      </w:r>
      <w:r w:rsidR="00F568F2">
        <w:rPr>
          <w:b/>
        </w:rPr>
        <w:t>5</w:t>
      </w:r>
      <w:r w:rsidRPr="00112D36">
        <w:rPr>
          <w:b/>
          <w:lang w:val="vi-VN"/>
        </w:rPr>
        <w:t>)</w:t>
      </w:r>
    </w:p>
    <w:p w14:paraId="27CAF0C1" w14:textId="77777777" w:rsidR="001F2956" w:rsidRPr="00112D36" w:rsidRDefault="001F2956" w:rsidP="001F2956">
      <w:pPr>
        <w:spacing w:before="120" w:line="288" w:lineRule="auto"/>
        <w:ind w:firstLine="545"/>
        <w:jc w:val="both"/>
      </w:pPr>
      <w:r w:rsidRPr="00112D36">
        <w:rPr>
          <w:lang w:val="vi-VN"/>
        </w:rPr>
        <w:t>Nội dung Chương I bao gồm các quy định về phạm vi điều chỉnh, đối tượng áp dụng, giải thích từ ngữ, nguyên tắc kiểm soát TTHC, cơ quan, đơn vị kiểm soát TTHC</w:t>
      </w:r>
      <w:r w:rsidRPr="00112D36">
        <w:t>.</w:t>
      </w:r>
    </w:p>
    <w:p w14:paraId="2F82E34C" w14:textId="24CC2181" w:rsidR="001F2956" w:rsidRPr="00112D36" w:rsidRDefault="001F2956" w:rsidP="001F2956">
      <w:pPr>
        <w:spacing w:before="120" w:line="288" w:lineRule="auto"/>
        <w:ind w:firstLine="545"/>
        <w:jc w:val="both"/>
        <w:rPr>
          <w:b/>
          <w:lang w:val="vi-VN"/>
        </w:rPr>
      </w:pPr>
      <w:r w:rsidRPr="00112D36">
        <w:rPr>
          <w:b/>
          <w:lang w:val="vi-VN"/>
        </w:rPr>
        <w:t>Chương II. Quy định về thủ tục hành chính (</w:t>
      </w:r>
      <w:r w:rsidR="00F568F2">
        <w:rPr>
          <w:b/>
          <w:lang w:val="vi-VN"/>
        </w:rPr>
        <w:t xml:space="preserve">từ Điều </w:t>
      </w:r>
      <w:r w:rsidR="00F568F2">
        <w:rPr>
          <w:b/>
        </w:rPr>
        <w:t>6</w:t>
      </w:r>
      <w:r w:rsidRPr="00112D36">
        <w:rPr>
          <w:b/>
          <w:lang w:val="vi-VN"/>
        </w:rPr>
        <w:t xml:space="preserve"> đến Điều 1</w:t>
      </w:r>
      <w:r w:rsidR="00F568F2">
        <w:rPr>
          <w:b/>
        </w:rPr>
        <w:t>4</w:t>
      </w:r>
      <w:r w:rsidRPr="00112D36">
        <w:rPr>
          <w:b/>
          <w:lang w:val="vi-VN"/>
        </w:rPr>
        <w:t>)</w:t>
      </w:r>
    </w:p>
    <w:p w14:paraId="4B56A384" w14:textId="77777777" w:rsidR="001F2956" w:rsidRPr="00112D36" w:rsidRDefault="001F2956" w:rsidP="001F2956">
      <w:pPr>
        <w:spacing w:before="120" w:line="288" w:lineRule="auto"/>
        <w:ind w:firstLine="545"/>
        <w:jc w:val="both"/>
      </w:pPr>
      <w:r w:rsidRPr="00112D36">
        <w:rPr>
          <w:lang w:val="vi-VN"/>
        </w:rPr>
        <w:t>Nội dung Chương II bao gồm các quy định về nguyên tắc quy định TTHC, yêu cầu của việc quy định TTHC, lấy ý kiến đối với các quy định về TTHC trong dự án, dự thảo văn bản quy phạm pháp luật, đánh giá tác động của TTHC, thẩm định quy định về TTHC</w:t>
      </w:r>
      <w:r w:rsidRPr="00112D36">
        <w:t>, đăng ký thủ tục hành</w:t>
      </w:r>
      <w:r>
        <w:t xml:space="preserve"> chính</w:t>
      </w:r>
      <w:r w:rsidRPr="00112D36">
        <w:t xml:space="preserve"> mới dự kiến ban hành.</w:t>
      </w:r>
    </w:p>
    <w:p w14:paraId="55CBCEAD" w14:textId="77777777" w:rsidR="001F2956" w:rsidRPr="00112D36" w:rsidRDefault="001F2956" w:rsidP="001F2956">
      <w:pPr>
        <w:spacing w:before="120" w:line="288" w:lineRule="auto"/>
        <w:ind w:firstLine="545"/>
        <w:jc w:val="both"/>
        <w:rPr>
          <w:lang w:val="vi-VN"/>
        </w:rPr>
      </w:pPr>
      <w:r w:rsidRPr="00112D36">
        <w:rPr>
          <w:lang w:val="vi-VN"/>
        </w:rPr>
        <w:t>Các quy định của Chương này nhằm khắc phục tình trạng tuỳ tiện trong ban hành các quy định về TTHC, đồng thời chuẩn hóa các quy định về TTHC, bảo đảm tính thống nhất trong ban hành, nâng cao chất lượng và tính khả thi của các quy định về TTHC.</w:t>
      </w:r>
    </w:p>
    <w:p w14:paraId="06C4A6E1" w14:textId="096DAEB2" w:rsidR="001F2956" w:rsidRPr="00112D36" w:rsidRDefault="001F2956" w:rsidP="001F2956">
      <w:pPr>
        <w:spacing w:before="120" w:line="288" w:lineRule="auto"/>
        <w:ind w:firstLine="545"/>
        <w:jc w:val="both"/>
        <w:rPr>
          <w:b/>
          <w:lang w:val="vi-VN"/>
        </w:rPr>
      </w:pPr>
      <w:r w:rsidRPr="00112D36">
        <w:rPr>
          <w:b/>
          <w:lang w:val="vi-VN"/>
        </w:rPr>
        <w:t>Chương I</w:t>
      </w:r>
      <w:r w:rsidRPr="00112D36">
        <w:rPr>
          <w:b/>
        </w:rPr>
        <w:t>II</w:t>
      </w:r>
      <w:r w:rsidRPr="00112D36">
        <w:rPr>
          <w:b/>
          <w:lang w:val="vi-VN"/>
        </w:rPr>
        <w:t>. Thực hiện thủ tục hành chính (từ Điều 1</w:t>
      </w:r>
      <w:r w:rsidR="00F568F2">
        <w:rPr>
          <w:b/>
        </w:rPr>
        <w:t>5</w:t>
      </w:r>
      <w:r w:rsidRPr="00112D36">
        <w:rPr>
          <w:b/>
          <w:lang w:val="vi-VN"/>
        </w:rPr>
        <w:t xml:space="preserve"> đến Điều 2</w:t>
      </w:r>
      <w:r w:rsidR="00F568F2">
        <w:rPr>
          <w:b/>
        </w:rPr>
        <w:t>4</w:t>
      </w:r>
      <w:r w:rsidRPr="00112D36">
        <w:rPr>
          <w:b/>
          <w:lang w:val="vi-VN"/>
        </w:rPr>
        <w:t>)</w:t>
      </w:r>
    </w:p>
    <w:p w14:paraId="4142CC05" w14:textId="77777777" w:rsidR="001F2956" w:rsidRPr="00112D36" w:rsidRDefault="001F2956" w:rsidP="001F2956">
      <w:pPr>
        <w:spacing w:before="120" w:line="288" w:lineRule="auto"/>
        <w:ind w:firstLine="545"/>
        <w:jc w:val="both"/>
        <w:rPr>
          <w:lang w:val="vi-VN"/>
        </w:rPr>
      </w:pPr>
      <w:r w:rsidRPr="00112D36">
        <w:rPr>
          <w:lang w:val="vi-VN"/>
        </w:rPr>
        <w:t>Nộ</w:t>
      </w:r>
      <w:r>
        <w:rPr>
          <w:lang w:val="vi-VN"/>
        </w:rPr>
        <w:t xml:space="preserve">i dung Chương </w:t>
      </w:r>
      <w:r>
        <w:t>này</w:t>
      </w:r>
      <w:r w:rsidRPr="00112D36">
        <w:rPr>
          <w:lang w:val="vi-VN"/>
        </w:rPr>
        <w:t xml:space="preserve"> bao gồm các quy định về nguyên tắc thực hiện TTHC, thẩm quyền, phạm vi, quyết định công bố TTHC, công khai TTHC, hình thức công khai, trách nhiệm của cơ quan thực hiện TTHC, trách nhiệm người đứng đầu bộ, cơ quan ngang bộ, ủy ban nhân dân </w:t>
      </w:r>
      <w:r w:rsidRPr="00112D36">
        <w:t>cấp tỉnh, cấp xã</w:t>
      </w:r>
      <w:r w:rsidRPr="00112D36">
        <w:rPr>
          <w:lang w:val="vi-VN"/>
        </w:rPr>
        <w:t xml:space="preserve">, trách nhiệm của cán bộ, </w:t>
      </w:r>
      <w:r w:rsidRPr="00112D36">
        <w:rPr>
          <w:lang w:val="vi-VN"/>
        </w:rPr>
        <w:lastRenderedPageBreak/>
        <w:t>công chức được phân công thực hiện TTHC, quyền và nghĩa vụ của đối tượng thực hiện TTHC, phản ánh, kiến</w:t>
      </w:r>
      <w:r>
        <w:t xml:space="preserve"> nghị</w:t>
      </w:r>
      <w:r w:rsidRPr="00112D36">
        <w:rPr>
          <w:lang w:val="vi-VN"/>
        </w:rPr>
        <w:t xml:space="preserve"> về TTHC trong quá trình thực hiện.</w:t>
      </w:r>
    </w:p>
    <w:p w14:paraId="3A99C431" w14:textId="77777777" w:rsidR="001F2956" w:rsidRPr="00112D36" w:rsidRDefault="001F2956" w:rsidP="001F2956">
      <w:pPr>
        <w:spacing w:before="120" w:line="288" w:lineRule="auto"/>
        <w:ind w:firstLine="545"/>
        <w:jc w:val="both"/>
        <w:rPr>
          <w:lang w:val="vi-VN"/>
        </w:rPr>
      </w:pPr>
      <w:r w:rsidRPr="00112D36">
        <w:rPr>
          <w:lang w:val="vi-VN"/>
        </w:rPr>
        <w:t xml:space="preserve"> Với mục tiêu xây dựng nền hành chính phục vụ nhân dân, đáp ứng yêu cầu hội nhập kinh tế quốc tế, góp phần khắc phục nhũng nhiễu, tiêu cực và giảm phiền hà cho nhân dân, doanh nghiệp trong thực hiện TTHC, mục đích của Chương này nhằm quy định rõ các biện pháp bảo đảm công khai, minh bạch các TTHC và bảo đảm tính khách quan trong quá trình thực hiện. </w:t>
      </w:r>
      <w:r w:rsidRPr="00112D36">
        <w:rPr>
          <w:lang w:val="vi-VN"/>
        </w:rPr>
        <w:tab/>
      </w:r>
    </w:p>
    <w:p w14:paraId="3808669D" w14:textId="747DE470" w:rsidR="001F2956" w:rsidRPr="00112D36" w:rsidRDefault="001F2956" w:rsidP="001F2956">
      <w:pPr>
        <w:spacing w:before="120" w:line="288" w:lineRule="auto"/>
        <w:ind w:firstLine="545"/>
        <w:jc w:val="both"/>
        <w:rPr>
          <w:lang w:val="vi-VN"/>
        </w:rPr>
      </w:pPr>
      <w:r w:rsidRPr="00112D36">
        <w:rPr>
          <w:b/>
          <w:lang w:val="vi-VN"/>
        </w:rPr>
        <w:t xml:space="preserve">Chương </w:t>
      </w:r>
      <w:r w:rsidRPr="00112D36">
        <w:rPr>
          <w:b/>
        </w:rPr>
        <w:t>IV</w:t>
      </w:r>
      <w:r w:rsidRPr="00112D36">
        <w:rPr>
          <w:b/>
          <w:lang w:val="vi-VN"/>
        </w:rPr>
        <w:t xml:space="preserve">. </w:t>
      </w:r>
      <w:r w:rsidR="00F568F2">
        <w:rPr>
          <w:b/>
        </w:rPr>
        <w:t>Ứng dụng công nghệ thông tin trong kiểm soát TTHC</w:t>
      </w:r>
      <w:r w:rsidRPr="00112D36">
        <w:rPr>
          <w:b/>
          <w:lang w:val="vi-VN"/>
        </w:rPr>
        <w:t xml:space="preserve"> (từ Điều 2</w:t>
      </w:r>
      <w:r w:rsidR="00F568F2">
        <w:rPr>
          <w:b/>
        </w:rPr>
        <w:t>5</w:t>
      </w:r>
      <w:r w:rsidRPr="00112D36">
        <w:rPr>
          <w:b/>
          <w:lang w:val="vi-VN"/>
        </w:rPr>
        <w:t xml:space="preserve"> đến Điều </w:t>
      </w:r>
      <w:r w:rsidR="00F568F2">
        <w:rPr>
          <w:b/>
        </w:rPr>
        <w:t>29</w:t>
      </w:r>
      <w:r w:rsidRPr="00112D36">
        <w:rPr>
          <w:b/>
          <w:lang w:val="vi-VN"/>
        </w:rPr>
        <w:t>)</w:t>
      </w:r>
    </w:p>
    <w:p w14:paraId="35557492" w14:textId="43767430" w:rsidR="001F2956" w:rsidRPr="00112D36" w:rsidRDefault="001F2956" w:rsidP="001F2956">
      <w:pPr>
        <w:spacing w:before="120" w:line="288" w:lineRule="auto"/>
        <w:ind w:firstLine="545"/>
        <w:jc w:val="both"/>
        <w:rPr>
          <w:lang w:val="vi-VN"/>
        </w:rPr>
      </w:pPr>
      <w:r w:rsidRPr="00112D36">
        <w:rPr>
          <w:lang w:val="vi-VN"/>
        </w:rPr>
        <w:t xml:space="preserve">Nội dung Chương này bao gồm các quy định về </w:t>
      </w:r>
      <w:r w:rsidR="00F568F2">
        <w:t xml:space="preserve">Nền tảng số kiểm soát TTHC; </w:t>
      </w:r>
      <w:r w:rsidRPr="00112D36">
        <w:rPr>
          <w:lang w:val="vi-VN"/>
        </w:rPr>
        <w:t xml:space="preserve">điều kiện </w:t>
      </w:r>
      <w:r w:rsidRPr="00112D36">
        <w:t>đăng tải</w:t>
      </w:r>
      <w:r w:rsidRPr="00112D36">
        <w:rPr>
          <w:lang w:val="vi-VN"/>
        </w:rPr>
        <w:t xml:space="preserve"> TTHC trên Cơ sở dữ liệu quốc gia về TTHC, nhập dữ liệu TTHC đã công bố, giá trị của TTHC và văn bản quy phạm pháp luật có quy định về TTHC trên Cơ sở dữ liệu quốc gia về TTHC, trách nhiệm quản lý Cơ sở dữ liệu quốc gia về TTHC.</w:t>
      </w:r>
    </w:p>
    <w:p w14:paraId="2A65CF38" w14:textId="1455D760" w:rsidR="001F2956" w:rsidRPr="00112D36" w:rsidRDefault="001F2956" w:rsidP="001F2956">
      <w:pPr>
        <w:spacing w:before="120" w:line="288" w:lineRule="auto"/>
        <w:ind w:firstLine="545"/>
        <w:jc w:val="both"/>
        <w:rPr>
          <w:b/>
          <w:lang w:val="vi-VN"/>
        </w:rPr>
      </w:pPr>
      <w:r w:rsidRPr="00112D36">
        <w:rPr>
          <w:b/>
          <w:lang w:val="vi-VN"/>
        </w:rPr>
        <w:t xml:space="preserve">Chương V. Rà soát, đánh giá thủ tục hành chính (từ Điều </w:t>
      </w:r>
      <w:r w:rsidR="00F568F2">
        <w:rPr>
          <w:b/>
        </w:rPr>
        <w:t>30</w:t>
      </w:r>
      <w:r w:rsidRPr="00112D36">
        <w:rPr>
          <w:b/>
          <w:lang w:val="vi-VN"/>
        </w:rPr>
        <w:t xml:space="preserve"> đến Điều </w:t>
      </w:r>
      <w:r w:rsidR="00F568F2">
        <w:rPr>
          <w:b/>
        </w:rPr>
        <w:t>38</w:t>
      </w:r>
      <w:r w:rsidRPr="00112D36">
        <w:rPr>
          <w:b/>
          <w:lang w:val="vi-VN"/>
        </w:rPr>
        <w:t>)</w:t>
      </w:r>
    </w:p>
    <w:p w14:paraId="1ECB6A71" w14:textId="77777777" w:rsidR="001F2956" w:rsidRPr="00112D36" w:rsidRDefault="001F2956" w:rsidP="001F2956">
      <w:pPr>
        <w:spacing w:before="120" w:line="288" w:lineRule="auto"/>
        <w:ind w:firstLine="545"/>
        <w:jc w:val="both"/>
        <w:rPr>
          <w:lang w:val="vi-VN"/>
        </w:rPr>
      </w:pPr>
      <w:r w:rsidRPr="00112D36">
        <w:rPr>
          <w:lang w:val="vi-VN"/>
        </w:rPr>
        <w:t>Nội dung Chương này bao gồm các quy định về trách nhiệm, nội dung, cách thức, kế hoạch và việc xử lý kết quả rà soát, đánh giá TTHC.</w:t>
      </w:r>
    </w:p>
    <w:p w14:paraId="7CBF3562" w14:textId="77777777" w:rsidR="001F2956" w:rsidRPr="00112D36" w:rsidRDefault="001F2956" w:rsidP="001F2956">
      <w:pPr>
        <w:spacing w:before="120" w:line="288" w:lineRule="auto"/>
        <w:ind w:firstLine="545"/>
        <w:jc w:val="both"/>
        <w:rPr>
          <w:lang w:val="vi-VN"/>
        </w:rPr>
      </w:pPr>
      <w:r w:rsidRPr="00112D36">
        <w:rPr>
          <w:lang w:val="vi-VN"/>
        </w:rPr>
        <w:t>Các quy định này nhằm bảo đảm theo dõi, kiểm soát thường xuyên các TTHC trong quá trình thực thi, khắc phục tình trạng rà soát, đánh giá mang tính hình thức về các TTHC, đồng thời quy định trách nhiệm và biện pháp để kịp thời xử lý kết quả rà soát, đánh giá về TTHC.</w:t>
      </w:r>
    </w:p>
    <w:p w14:paraId="4E6FE39E" w14:textId="254127BE" w:rsidR="001F2956" w:rsidRPr="00112D36" w:rsidRDefault="001F2956" w:rsidP="001F2956">
      <w:pPr>
        <w:spacing w:before="120" w:line="288" w:lineRule="auto"/>
        <w:ind w:firstLine="545"/>
        <w:jc w:val="both"/>
        <w:rPr>
          <w:b/>
          <w:lang w:val="vi-VN"/>
        </w:rPr>
      </w:pPr>
      <w:r w:rsidRPr="00112D36">
        <w:rPr>
          <w:b/>
          <w:lang w:val="vi-VN"/>
        </w:rPr>
        <w:t xml:space="preserve">Chương VI.  </w:t>
      </w:r>
      <w:r w:rsidR="00F568F2">
        <w:rPr>
          <w:b/>
        </w:rPr>
        <w:t>Điều kiện đảm bảo thực hiện</w:t>
      </w:r>
      <w:r w:rsidRPr="00112D36">
        <w:rPr>
          <w:b/>
          <w:lang w:val="vi-VN"/>
        </w:rPr>
        <w:t xml:space="preserve"> và thông tin, báo cáo (từ Điều </w:t>
      </w:r>
      <w:r w:rsidR="00F568F2">
        <w:rPr>
          <w:b/>
        </w:rPr>
        <w:t>39</w:t>
      </w:r>
      <w:r w:rsidRPr="00112D36">
        <w:rPr>
          <w:b/>
          <w:lang w:val="vi-VN"/>
        </w:rPr>
        <w:t xml:space="preserve"> đến Điều </w:t>
      </w:r>
      <w:r w:rsidR="00F568F2">
        <w:rPr>
          <w:b/>
        </w:rPr>
        <w:t>41</w:t>
      </w:r>
      <w:r w:rsidRPr="00112D36">
        <w:rPr>
          <w:b/>
          <w:lang w:val="vi-VN"/>
        </w:rPr>
        <w:t>)</w:t>
      </w:r>
    </w:p>
    <w:p w14:paraId="357BF758" w14:textId="19C11C5F" w:rsidR="001F2956" w:rsidRPr="00112D36" w:rsidRDefault="001F2956" w:rsidP="001F2956">
      <w:pPr>
        <w:spacing w:before="120" w:line="288" w:lineRule="auto"/>
        <w:ind w:firstLine="545"/>
        <w:jc w:val="both"/>
        <w:rPr>
          <w:lang w:val="vi-VN"/>
        </w:rPr>
      </w:pPr>
      <w:r w:rsidRPr="00112D36">
        <w:rPr>
          <w:lang w:val="vi-VN"/>
        </w:rPr>
        <w:t xml:space="preserve">Nội dung Chương này bao gồm các quy định về điều kiện bảo đảm về kinh phí thực hiện kiểm soát TTHC, chế độ thông tin báo cáo nhằm bảo đảm hiệu quả của hoạt động kiểm soát TTHC. </w:t>
      </w:r>
    </w:p>
    <w:p w14:paraId="6FCCC7BA" w14:textId="2F04166F" w:rsidR="001F2956" w:rsidRPr="00112D36" w:rsidRDefault="001F2956" w:rsidP="001F2956">
      <w:pPr>
        <w:spacing w:before="120" w:line="288" w:lineRule="auto"/>
        <w:ind w:firstLine="545"/>
        <w:jc w:val="both"/>
        <w:rPr>
          <w:lang w:val="vi-VN"/>
        </w:rPr>
      </w:pPr>
      <w:r w:rsidRPr="00112D36">
        <w:rPr>
          <w:b/>
          <w:lang w:val="vi-VN"/>
        </w:rPr>
        <w:t xml:space="preserve">Chương VII. Điều khoản thi hành (từ Điều </w:t>
      </w:r>
      <w:r w:rsidR="00F568F2">
        <w:rPr>
          <w:b/>
        </w:rPr>
        <w:t>42</w:t>
      </w:r>
      <w:r w:rsidRPr="00112D36">
        <w:rPr>
          <w:b/>
          <w:lang w:val="vi-VN"/>
        </w:rPr>
        <w:t xml:space="preserve"> đến Điều </w:t>
      </w:r>
      <w:r w:rsidR="00F568F2">
        <w:rPr>
          <w:b/>
        </w:rPr>
        <w:t>43</w:t>
      </w:r>
      <w:r w:rsidRPr="00112D36">
        <w:rPr>
          <w:b/>
          <w:lang w:val="vi-VN"/>
        </w:rPr>
        <w:t xml:space="preserve">)  </w:t>
      </w:r>
    </w:p>
    <w:p w14:paraId="422B0259" w14:textId="4AF62F63" w:rsidR="001F2956" w:rsidRPr="001F2956" w:rsidRDefault="001F2956" w:rsidP="001F2956">
      <w:pPr>
        <w:spacing w:before="120" w:line="288" w:lineRule="auto"/>
        <w:ind w:firstLine="545"/>
        <w:jc w:val="both"/>
        <w:rPr>
          <w:lang w:val="vi-VN"/>
        </w:rPr>
      </w:pPr>
      <w:r w:rsidRPr="00112D36">
        <w:rPr>
          <w:lang w:val="vi-VN"/>
        </w:rPr>
        <w:t xml:space="preserve">Chương này quy định về trách nhiệm thi hành, điều khoản chuyển tiếp và hiệu lực thi hành.   </w:t>
      </w:r>
    </w:p>
    <w:p w14:paraId="3EDEF0D2" w14:textId="23EC5DCF" w:rsidR="00C80848" w:rsidRPr="008C5ACF" w:rsidRDefault="00C80848" w:rsidP="008C5ACF">
      <w:pPr>
        <w:spacing w:before="120" w:after="120" w:line="288" w:lineRule="auto"/>
        <w:ind w:firstLine="545"/>
        <w:jc w:val="both"/>
        <w:rPr>
          <w:lang w:val="vi-VN"/>
        </w:rPr>
      </w:pPr>
      <w:r w:rsidRPr="00565E1C">
        <w:rPr>
          <w:b/>
          <w:color w:val="000000" w:themeColor="text1"/>
        </w:rPr>
        <w:t>3. Nội dung cơ bản</w:t>
      </w:r>
    </w:p>
    <w:p w14:paraId="09C9802F" w14:textId="77777777" w:rsidR="00C80848" w:rsidRPr="00565E1C" w:rsidRDefault="00C80848" w:rsidP="00565E1C">
      <w:pPr>
        <w:pStyle w:val="NormalWeb"/>
        <w:spacing w:after="120" w:line="288" w:lineRule="auto"/>
      </w:pPr>
      <w:r w:rsidRPr="00565E1C">
        <w:t xml:space="preserve">Dự thảo Nghị định được xây dựng trên cơ sở tổng kết thực tiễn thi hành Nghị định số 63/2010/NĐ-CP và các văn bản sửa đổi, bổ sung; bám sát các chủ trương </w:t>
      </w:r>
      <w:r w:rsidRPr="00565E1C">
        <w:lastRenderedPageBreak/>
        <w:t>của Đảng, Chính phủ về cải cách thủ tục hành chính, phân cấp, phân quyền, chuyển đổi số và xây dựng nền hành chính phục vụ người dân, doanh nghiệp.</w:t>
      </w:r>
    </w:p>
    <w:p w14:paraId="12474107" w14:textId="1556BCF9" w:rsidR="00C80848" w:rsidRPr="00565E1C" w:rsidRDefault="00C80848" w:rsidP="00565E1C">
      <w:pPr>
        <w:pStyle w:val="NormalWeb"/>
        <w:spacing w:after="120" w:line="288" w:lineRule="auto"/>
      </w:pPr>
      <w:r w:rsidRPr="00565E1C">
        <w:t xml:space="preserve">Dự thảo Nghị định kế thừa nhiều nội dung của Nghị định </w:t>
      </w:r>
      <w:r w:rsidR="007C13E5">
        <w:t>63/2010/NĐ-CP (đã được sửa đổi, bổ sung)</w:t>
      </w:r>
      <w:r w:rsidRPr="00565E1C">
        <w:t>, đồng thời sửa đổi, bổ sung toàn diện theo hướng chuyển từ mô hình “kiểm soát thủ tục hành chính” sang “quản trị thủ tục hành chính hiện đại”, lấy người dân, doanh nghiệp làm trung tâm; tăng cường ứng dụng công nghệ số, quản trị dữ liệu và nâng cao chất lượng phục vụ.</w:t>
      </w:r>
    </w:p>
    <w:p w14:paraId="529654A0" w14:textId="77777777" w:rsidR="00C80848" w:rsidRPr="00565E1C" w:rsidRDefault="00C80848" w:rsidP="00565E1C">
      <w:pPr>
        <w:pStyle w:val="Heading4"/>
        <w:spacing w:before="120" w:after="120" w:line="288" w:lineRule="auto"/>
        <w:ind w:firstLine="540"/>
        <w:rPr>
          <w:rFonts w:ascii="Times New Roman" w:hAnsi="Times New Roman" w:cs="Times New Roman"/>
          <w:color w:val="000000" w:themeColor="text1"/>
        </w:rPr>
      </w:pPr>
      <w:r w:rsidRPr="00565E1C">
        <w:rPr>
          <w:rFonts w:ascii="Times New Roman" w:hAnsi="Times New Roman" w:cs="Times New Roman"/>
          <w:color w:val="000000" w:themeColor="text1"/>
        </w:rPr>
        <w:t>a) Những nội dung kế thừa</w:t>
      </w:r>
    </w:p>
    <w:p w14:paraId="678CFD7A" w14:textId="766F5704" w:rsidR="00C80848" w:rsidRPr="00565E1C" w:rsidRDefault="00343590" w:rsidP="00565E1C">
      <w:pPr>
        <w:spacing w:before="120" w:after="120" w:line="288" w:lineRule="auto"/>
        <w:ind w:firstLine="567"/>
        <w:jc w:val="both"/>
      </w:pPr>
      <w:r w:rsidRPr="00565E1C">
        <w:rPr>
          <w:bCs/>
          <w:color w:val="000000"/>
          <w:lang w:eastAsia="zh-CN"/>
        </w:rPr>
        <w:t>Nghị định kế thừa cấu trúc chương, điều của Nghị định số 63/2010/NĐ-CP. Về nội dung, kế thừa một số quy định về giải thích từ ngữ, các nguyên tắc thực hiện, những quy định về hành vi không được làm trong thực hiện thủ tục hành chính, thẩm định quy định về TTHC, công khai thủ tục hành chính, hình thức công khai, trách nhiệm của cơ quan thực hiện thủ tục hành chính, trách nhiệm người đứng đầu Bộ, cơ quan ngang Bộ, Ủy ban nhân dân tỉnh, thành phố, quyền và nghĩa vụ của đối tượng thực hiện thủ tục hành chính, phản ánh kiến nghị về TTHC; Kiểm tra việc thực hiện hoạt động kiểm soát TTHC; khen thưởng, kinh phí thực hiện, thông tin báo cáo.</w:t>
      </w:r>
    </w:p>
    <w:p w14:paraId="18E7C79F" w14:textId="6A2A71EE" w:rsidR="00206BDD" w:rsidRPr="00565E1C" w:rsidRDefault="00C80848" w:rsidP="00565E1C">
      <w:pPr>
        <w:pStyle w:val="Heading4"/>
        <w:spacing w:before="120" w:after="120" w:line="288" w:lineRule="auto"/>
        <w:ind w:firstLine="540"/>
        <w:rPr>
          <w:rFonts w:ascii="Times New Roman" w:hAnsi="Times New Roman" w:cs="Times New Roman"/>
          <w:color w:val="000000" w:themeColor="text1"/>
        </w:rPr>
      </w:pPr>
      <w:r w:rsidRPr="00565E1C">
        <w:rPr>
          <w:rFonts w:ascii="Times New Roman" w:hAnsi="Times New Roman" w:cs="Times New Roman"/>
          <w:color w:val="000000" w:themeColor="text1"/>
        </w:rPr>
        <w:t>b) Những nội dung sửa đổi, hoàn thiện</w:t>
      </w:r>
    </w:p>
    <w:p w14:paraId="5F313E59" w14:textId="77777777" w:rsidR="00206BDD" w:rsidRPr="00565E1C" w:rsidRDefault="00206BDD" w:rsidP="00565E1C">
      <w:pPr>
        <w:suppressAutoHyphens/>
        <w:spacing w:before="120" w:after="120" w:line="288" w:lineRule="auto"/>
        <w:ind w:firstLine="567"/>
        <w:jc w:val="both"/>
        <w:rPr>
          <w:lang w:eastAsia="zh-CN"/>
        </w:rPr>
      </w:pPr>
      <w:r w:rsidRPr="00565E1C">
        <w:rPr>
          <w:lang w:eastAsia="zh-CN"/>
        </w:rPr>
        <w:t>(1) Bổ sung thủ tục hành chính (TTHC) nội bộ giữa các cơ quan hành chính nhà nước thuộc phạm vi điều chỉnh của dự thảo Nghị định.</w:t>
      </w:r>
    </w:p>
    <w:p w14:paraId="2442EF35" w14:textId="51D28FA1" w:rsidR="00206BDD" w:rsidRPr="00565E1C" w:rsidRDefault="00206BDD" w:rsidP="00565E1C">
      <w:pPr>
        <w:suppressAutoHyphens/>
        <w:spacing w:before="120" w:after="120" w:line="288" w:lineRule="auto"/>
        <w:ind w:firstLine="567"/>
        <w:jc w:val="both"/>
        <w:rPr>
          <w:lang w:eastAsia="zh-CN"/>
        </w:rPr>
      </w:pPr>
      <w:r w:rsidRPr="00565E1C">
        <w:rPr>
          <w:lang w:eastAsia="zh-CN"/>
        </w:rPr>
        <w:t>Nội dung này được sửa đổi nhằm phù hợp, thống nhất với quy định pháp luật về ban hành văn bản QPPL, TTHC được quy định tại VBQPPL bao gồm cả TTHC nội bộ và TTHC giữa cơ quan nhà nước với cá nhân, tổ chức. Phù hợp với chủ trương, chỉ đạo của Chính phủ, Thủ tướng Chính phủ trong thời gian qua (chỉ đạo về việc rà soát, cắt giảm, đơn giản hóa thủ tục hành chính nội bộ Nghị quyết số 66/NQ-CP ngày 26/3/2025 của Chính phủ về Chương trình cắt giảm, đơn giản hóa thủ tục hành chính liên quan đến hoạt động sản xuất, kinh doanh năm 2025 và 2026; Quyết định 1085/QĐ-TTg ngày 15/9/2022 của Thủ tướng Chính phủ ban hành Kế hoạch rà soát, cắt giảm, đơn giản hóa thủ tục hành chinh nội bộ trong hệ thống hành chính nhà nước giai đoạn 2022-2025;…).</w:t>
      </w:r>
    </w:p>
    <w:p w14:paraId="7E9BEC09" w14:textId="4AC291D1" w:rsidR="0072339C" w:rsidRPr="008C5ACF" w:rsidRDefault="00746C32" w:rsidP="00565E1C">
      <w:pPr>
        <w:spacing w:before="120" w:after="120" w:line="288" w:lineRule="auto"/>
        <w:ind w:firstLine="709"/>
        <w:jc w:val="both"/>
        <w:rPr>
          <w:color w:val="000000" w:themeColor="text1"/>
        </w:rPr>
      </w:pPr>
      <w:r w:rsidRPr="00565E1C">
        <w:t>(2</w:t>
      </w:r>
      <w:r w:rsidR="00C80848" w:rsidRPr="00565E1C">
        <w:t xml:space="preserve">) </w:t>
      </w:r>
      <w:r w:rsidR="0072339C" w:rsidRPr="00565E1C">
        <w:t xml:space="preserve">Sửa đổi Điều 5 của Nghị định 63/2010/NĐ-CP về cơ quan, đơn vị kiểm soát TTHC, trong đó bổ sung chức năng giúp Chính phủ thống nhất quản lý nhà nước về công tác kiểm soát TTHC của Bộ Tư pháp; khẳng định Cục KSTTHC thuộc Bộ Tư pháp có chức năng tham mưu, giúp Bộ trưởng Bộ Tư pháp thực hiện quản lý nhà nước về công tác kiểm soát TTHC. Ở Bộ, cơ quan ngang Bộ, công </w:t>
      </w:r>
      <w:r w:rsidR="0072339C" w:rsidRPr="00565E1C">
        <w:lastRenderedPageBreak/>
        <w:t>tác kiểm soát TTHC được giao cho</w:t>
      </w:r>
      <w:r w:rsidR="00BC4394">
        <w:t xml:space="preserve"> Bộ trưởng quyết định bố trí đơn vị kiểm soát TTHC</w:t>
      </w:r>
      <w:r w:rsidR="0072339C" w:rsidRPr="00565E1C">
        <w:t xml:space="preserve"> </w:t>
      </w:r>
      <w:r w:rsidR="00BC4394">
        <w:t xml:space="preserve">thuộc </w:t>
      </w:r>
      <w:r w:rsidR="0072339C" w:rsidRPr="00565E1C">
        <w:t xml:space="preserve">tổ chức pháp chế </w:t>
      </w:r>
      <w:r w:rsidR="00BC4394">
        <w:t xml:space="preserve">hoặc ở </w:t>
      </w:r>
      <w:r w:rsidR="0072339C" w:rsidRPr="00565E1C">
        <w:t>Văn phòng Bộ, cơ quan ngang Bộ để tham mưu, giúp người đứng đầu Tổ chức thực hiện công tác kiểm soát TTHC. Ở địa phương</w:t>
      </w:r>
      <w:r w:rsidR="00BC4394">
        <w:t xml:space="preserve"> dự thảo đang xây dựng 2 phương án: phương án 1 kiểm soát TTHC thuộc Sở Tư pháp với một số nhiệm vụ về đánh giá tác động thủ tục hành chính, rà soát TTHC, tham gia ý kiến, thẩm định TTHC) đồng thời các nội dung về tổ chức thực hiện dịch vụ công trực tuyến thì vẫn giữ nguyên tại Trung tâm phục vụ hành chính công thuộc Văn phòng Ủy ban nhân dân cấp tỉnh, hoặc Trung tâm PVHCC một cấp; Phương án 2:</w:t>
      </w:r>
      <w:r w:rsidR="0072339C" w:rsidRPr="00565E1C">
        <w:t xml:space="preserve"> Văn phòng Ủy ban nhân dân cấp tỉnh (hoặc Trung tâm phục vụ hành chính công một cấp) có chức năng tham mưu, giúp UBND cấp tỉnh thực hiện chức năng quản lý nhà nước về công tác kiểm soát TTHC</w:t>
      </w:r>
      <w:r w:rsidR="0072339C" w:rsidRPr="008C5ACF">
        <w:rPr>
          <w:color w:val="000000" w:themeColor="text1"/>
        </w:rPr>
        <w:t xml:space="preserve">; </w:t>
      </w:r>
      <w:r w:rsidR="0072339C" w:rsidRPr="008C5ACF">
        <w:rPr>
          <w:rStyle w:val="Emphasis"/>
          <w:i w:val="0"/>
          <w:color w:val="000000" w:themeColor="text1"/>
          <w:lang w:val="vi-VN"/>
        </w:rPr>
        <w:t xml:space="preserve">Trung tâm Phục vụ hành chính công thuộc Ủy ban nhân dân cấp xã có chức năng tham mưu, giúp Ủy ban nhân dân cấp xã, Chủ tịch Ủy ban nhân dân cấp xã thực hiện quản lý nhà nước về công tác kiểm soát thủ tục hành chính </w:t>
      </w:r>
      <w:r w:rsidR="0072339C" w:rsidRPr="008C5ACF">
        <w:rPr>
          <w:rStyle w:val="Emphasis"/>
          <w:i w:val="0"/>
          <w:color w:val="000000" w:themeColor="text1"/>
        </w:rPr>
        <w:t>thuộc phạm vi thực hiện tại địa bàn xã quản lý</w:t>
      </w:r>
    </w:p>
    <w:p w14:paraId="5F7C44C9" w14:textId="2919B2F8" w:rsidR="00746C32" w:rsidRPr="00565E1C" w:rsidRDefault="00BC4394" w:rsidP="007C13E5">
      <w:pPr>
        <w:pStyle w:val="isselectedend"/>
        <w:spacing w:before="120" w:beforeAutospacing="0" w:after="120" w:afterAutospacing="0" w:line="288" w:lineRule="auto"/>
        <w:ind w:firstLine="567"/>
        <w:jc w:val="both"/>
        <w:rPr>
          <w:sz w:val="28"/>
          <w:szCs w:val="28"/>
        </w:rPr>
      </w:pPr>
      <w:r w:rsidRPr="00565E1C">
        <w:rPr>
          <w:sz w:val="28"/>
          <w:szCs w:val="28"/>
        </w:rPr>
        <w:t xml:space="preserve"> </w:t>
      </w:r>
      <w:r w:rsidR="00206BDD" w:rsidRPr="00565E1C">
        <w:rPr>
          <w:sz w:val="28"/>
          <w:szCs w:val="28"/>
        </w:rPr>
        <w:t>(</w:t>
      </w:r>
      <w:r>
        <w:rPr>
          <w:sz w:val="28"/>
          <w:szCs w:val="28"/>
        </w:rPr>
        <w:t>3</w:t>
      </w:r>
      <w:r w:rsidR="00206BDD" w:rsidRPr="00565E1C">
        <w:rPr>
          <w:sz w:val="28"/>
          <w:szCs w:val="28"/>
        </w:rPr>
        <w:t xml:space="preserve">) </w:t>
      </w:r>
      <w:r w:rsidR="00746C32" w:rsidRPr="00565E1C">
        <w:rPr>
          <w:sz w:val="28"/>
          <w:szCs w:val="28"/>
        </w:rPr>
        <w:t xml:space="preserve">Sửa đổi quy định về </w:t>
      </w:r>
      <w:r w:rsidR="0081229A" w:rsidRPr="00565E1C">
        <w:rPr>
          <w:sz w:val="28"/>
          <w:szCs w:val="28"/>
        </w:rPr>
        <w:t>công bố</w:t>
      </w:r>
      <w:r w:rsidR="00746C32" w:rsidRPr="00565E1C">
        <w:rPr>
          <w:sz w:val="28"/>
          <w:szCs w:val="28"/>
        </w:rPr>
        <w:t xml:space="preserve"> thủ tục hành chính theo hướng phù hợp với yêu cầu chuyển đổi số và xây dựng Hệ thống thông tin giải quyết thủ tục hành chính tập trung, thống nhất.</w:t>
      </w:r>
      <w:r w:rsidR="00A94715" w:rsidRPr="00565E1C">
        <w:rPr>
          <w:sz w:val="28"/>
          <w:szCs w:val="28"/>
        </w:rPr>
        <w:t xml:space="preserve"> </w:t>
      </w:r>
      <w:r w:rsidR="007C13E5">
        <w:rPr>
          <w:sz w:val="28"/>
          <w:szCs w:val="28"/>
        </w:rPr>
        <w:t>Theo đó, B</w:t>
      </w:r>
      <w:r w:rsidR="00746C32" w:rsidRPr="00565E1C">
        <w:rPr>
          <w:sz w:val="28"/>
          <w:szCs w:val="28"/>
        </w:rPr>
        <w:t>ộ, cơ quan ngang bộ thực hiện công bố thủ tục hành chính thuộc phạm vi quản lý; địa phương không phải công bố địa phương hóa, mà chỉ công bố đối với</w:t>
      </w:r>
      <w:r w:rsidR="00A94715" w:rsidRPr="00565E1C">
        <w:rPr>
          <w:sz w:val="28"/>
          <w:szCs w:val="28"/>
        </w:rPr>
        <w:t xml:space="preserve"> thủ tục là biện pháp tổ chức thực hiện ở địa phương mà trung ương chưa quy định</w:t>
      </w:r>
      <w:r w:rsidR="00F306E2" w:rsidRPr="00565E1C">
        <w:rPr>
          <w:sz w:val="28"/>
          <w:szCs w:val="28"/>
        </w:rPr>
        <w:t xml:space="preserve"> và công bố đối với những trường hợp được trung ương giao quy định chi tiết</w:t>
      </w:r>
      <w:r w:rsidR="00A94715" w:rsidRPr="00565E1C">
        <w:rPr>
          <w:sz w:val="28"/>
          <w:szCs w:val="28"/>
        </w:rPr>
        <w:t xml:space="preserve">. </w:t>
      </w:r>
    </w:p>
    <w:p w14:paraId="30F9AD60" w14:textId="5E7A0B34" w:rsidR="00206BDD" w:rsidRPr="00565E1C" w:rsidRDefault="00F306E2" w:rsidP="00565E1C">
      <w:pPr>
        <w:pStyle w:val="NormalWeb"/>
        <w:spacing w:after="120" w:line="288" w:lineRule="auto"/>
        <w:ind w:firstLine="567"/>
      </w:pPr>
      <w:r w:rsidRPr="008C5ACF">
        <w:t xml:space="preserve"> </w:t>
      </w:r>
      <w:r w:rsidR="00BC4394">
        <w:t>(4</w:t>
      </w:r>
      <w:r w:rsidR="00A94715" w:rsidRPr="008C5ACF">
        <w:rPr>
          <w:b/>
        </w:rPr>
        <w:t xml:space="preserve">) </w:t>
      </w:r>
      <w:r w:rsidR="00A94715" w:rsidRPr="008C5ACF">
        <w:rPr>
          <w:rStyle w:val="Strong"/>
          <w:b w:val="0"/>
        </w:rPr>
        <w:t>Mở rộng tiêu chí đánh giá tác động thủ tục hành chính theo thông lệ quốc tế</w:t>
      </w:r>
      <w:r w:rsidR="008C5ACF">
        <w:rPr>
          <w:rStyle w:val="Strong"/>
          <w:b w:val="0"/>
        </w:rPr>
        <w:t>:</w:t>
      </w:r>
      <w:r w:rsidR="00A94715" w:rsidRPr="00565E1C">
        <w:t xml:space="preserve"> Việc sửa đổi Nghị định số 63/2010/NĐ-CP theo hướng mở rộng nội dung đánh giá t</w:t>
      </w:r>
      <w:r w:rsidR="00A93A07">
        <w:t>ác động thủ tục hành chính</w:t>
      </w:r>
      <w:r w:rsidR="00A94715" w:rsidRPr="00565E1C">
        <w:t>, tích hợp các nguyên lý quản trị hiện đại trong xây dựng chính sách và thủ tục hành chính. Theo đó, việc đánh giá tác động phải bảo đảm nguyên lý quản lý theo rủi ro</w:t>
      </w:r>
      <w:r w:rsidR="00BC4394">
        <w:t xml:space="preserve"> </w:t>
      </w:r>
      <w:r w:rsidR="00A94715" w:rsidRPr="00565E1C">
        <w:t>để lựa chọn công cụ quản lý phù hợp, hạn chế áp dụng cơ chế tiền kiểm một cách phổ biến; bảo đảm cạnh tranh, kiểm soát rào cản gia nhập thị trường và tác động đối với đổi mới sáng tạo, đặc biệt trong lĩnh vực sản xuất, kinh doanh; đồng thời đáp ứng yêu cầu thiết kế số, bảo đảm thủ tục hành chính có khả năng số hóa, tái sử dụng dữ liệu và tích hợp, liên thông trên môi trường điện tử.</w:t>
      </w:r>
    </w:p>
    <w:p w14:paraId="1FD235E9" w14:textId="52B4F90E" w:rsidR="001877E2" w:rsidRPr="00565E1C" w:rsidRDefault="00BC4394" w:rsidP="00565E1C">
      <w:pPr>
        <w:spacing w:before="120" w:after="120" w:line="288" w:lineRule="auto"/>
        <w:ind w:firstLine="567"/>
        <w:jc w:val="both"/>
      </w:pPr>
      <w:r>
        <w:rPr>
          <w:bCs/>
        </w:rPr>
        <w:t>(5</w:t>
      </w:r>
      <w:r w:rsidR="001877E2" w:rsidRPr="008C5ACF">
        <w:rPr>
          <w:bCs/>
        </w:rPr>
        <w:t>) Đổi mới công tác rà soát thủ tục hành chính</w:t>
      </w:r>
      <w:r w:rsidR="001877E2" w:rsidRPr="008C5ACF">
        <w:t>:</w:t>
      </w:r>
      <w:r w:rsidR="001877E2" w:rsidRPr="00565E1C">
        <w:t xml:space="preserve"> Dự thảo Nghị định đổi mới công tác rà soát thủ tục hành chính theo hướng đánh giá hiệu quả thực thi thực tế, thay vì chủ yếu dựa trên giả định như giai đoạn đánh giá tác động. Theo đó, việc rà soát không chỉ xem xét chi phí tuân thủ mà còn đánh giá mức độ phát sinh giao dịch thực tế, khả năng tổ chức thực hiện, mức độ phản ánh, kiến nghị của người </w:t>
      </w:r>
      <w:r w:rsidR="001877E2" w:rsidRPr="00565E1C">
        <w:lastRenderedPageBreak/>
        <w:t>dân, doanh nghiệp, hiệu quả đạt được so với mục tiêu quản lý, cũng như khả năng số hóa, liên thông và tái sử dụng dữ liệu.</w:t>
      </w:r>
    </w:p>
    <w:p w14:paraId="5E6ADFA5" w14:textId="17E86297" w:rsidR="001877E2" w:rsidRPr="00565E1C" w:rsidRDefault="001877E2" w:rsidP="00565E1C">
      <w:pPr>
        <w:spacing w:before="120" w:after="120" w:line="288" w:lineRule="auto"/>
        <w:ind w:firstLine="567"/>
        <w:jc w:val="both"/>
      </w:pPr>
      <w:r w:rsidRPr="00565E1C">
        <w:t>Đồng thời, chuyển từ rà soát đơn lẻ theo từng thủ tục sang rà soát theo vòng đời sự kiện gắn với nhu cầu giải quyết công việc của người dân, doanh nghiệp; từng bước rà soát, tái cấu trúc các thủ tục hành chính đang được quy định phân tán tại nhiều văn bản chuyên ngành để tăng cường liên thông, ứng dụng chuyển đổi số và tổ chức thực hiện thống nhất trên môi trường điện tử.</w:t>
      </w:r>
    </w:p>
    <w:p w14:paraId="42A151C4" w14:textId="08AE8514" w:rsidR="0041542C" w:rsidRPr="00565E1C" w:rsidRDefault="00BC4394" w:rsidP="00565E1C">
      <w:pPr>
        <w:pStyle w:val="isselectedend"/>
        <w:spacing w:before="120" w:beforeAutospacing="0" w:after="120" w:afterAutospacing="0" w:line="288" w:lineRule="auto"/>
        <w:ind w:firstLine="567"/>
        <w:jc w:val="both"/>
        <w:rPr>
          <w:sz w:val="28"/>
          <w:szCs w:val="28"/>
        </w:rPr>
      </w:pPr>
      <w:r>
        <w:rPr>
          <w:sz w:val="28"/>
          <w:szCs w:val="28"/>
        </w:rPr>
        <w:t>(6</w:t>
      </w:r>
      <w:r w:rsidR="00F306E2" w:rsidRPr="00565E1C">
        <w:rPr>
          <w:sz w:val="28"/>
          <w:szCs w:val="28"/>
        </w:rPr>
        <w:t xml:space="preserve">) </w:t>
      </w:r>
      <w:r w:rsidR="0041542C" w:rsidRPr="00565E1C">
        <w:rPr>
          <w:rStyle w:val="Strong"/>
          <w:b w:val="0"/>
          <w:sz w:val="28"/>
          <w:szCs w:val="28"/>
        </w:rPr>
        <w:t>Sửa đổi, bổ sung Chương về Cơ sở dữ liệu quốc gia về thủ tục hành chính:</w:t>
      </w:r>
      <w:r w:rsidR="0041542C" w:rsidRPr="00565E1C">
        <w:rPr>
          <w:sz w:val="28"/>
          <w:szCs w:val="28"/>
        </w:rPr>
        <w:t xml:space="preserve"> </w:t>
      </w:r>
    </w:p>
    <w:p w14:paraId="491B0050" w14:textId="2EF2658E" w:rsidR="00F306E2" w:rsidRPr="00565E1C" w:rsidRDefault="0041542C" w:rsidP="00565E1C">
      <w:pPr>
        <w:pStyle w:val="isselectedend"/>
        <w:spacing w:before="120" w:beforeAutospacing="0" w:after="120" w:afterAutospacing="0" w:line="288" w:lineRule="auto"/>
        <w:ind w:firstLine="567"/>
        <w:jc w:val="both"/>
        <w:rPr>
          <w:sz w:val="28"/>
          <w:szCs w:val="28"/>
        </w:rPr>
      </w:pPr>
      <w:r w:rsidRPr="00565E1C">
        <w:rPr>
          <w:sz w:val="28"/>
          <w:szCs w:val="28"/>
        </w:rPr>
        <w:t>-Bổ sung quy định về điều kiện đăng ký, cập nhật và công khai thủ tục hành chính trên Cơ sở dữ liệu quốc gia về thủ tục hành chính nhằm bảo đảm tính công khai, minh bạch, thống nhất và giá trị pháp lý trong tổ chức thực hiện thủ tục hành chính. Theo đó, thủ tục hành chính chỉ được tổ chức thực hiện khi đã được công bố, đăng ký và công khai trên Cơ sở dữ liệu quốc gia về thủ tục hành chính. Dự thảo đồng thời quy định trách nhiệm của các bộ, ngành, địa phương trong việc cập nhật, đăng ký thủ tục hành chính; trách nhiệm của Bộ Tư pháp trong kiểm soát chất lượng dữ liệu trước khi công khai và quy định cơ quan nhà nước không được yêu cầu cá nhân, tổ chức thực hiện đối với thủ tục hành chính chưa được đăng ký, công khai trên Cơ sở dữ liệu quốc gia về thủ tục hành chính.</w:t>
      </w:r>
    </w:p>
    <w:p w14:paraId="242EC29E" w14:textId="0F369FE1" w:rsidR="0041542C" w:rsidRPr="00565E1C" w:rsidRDefault="0041542C" w:rsidP="00565E1C">
      <w:pPr>
        <w:pStyle w:val="isselectedend"/>
        <w:spacing w:before="120" w:beforeAutospacing="0" w:after="120" w:afterAutospacing="0" w:line="288" w:lineRule="auto"/>
        <w:ind w:firstLine="567"/>
        <w:jc w:val="both"/>
        <w:rPr>
          <w:sz w:val="28"/>
          <w:szCs w:val="28"/>
        </w:rPr>
      </w:pPr>
      <w:r w:rsidRPr="00565E1C">
        <w:rPr>
          <w:sz w:val="28"/>
          <w:szCs w:val="28"/>
        </w:rPr>
        <w:t>- Bổ sung các nền tảng số hỗ trợ cho công tác kiểm soát thủ tục hành chính, theo đó, Cơ sở dữ liệu quốc gia về thủ tục hành chính không chỉ thực hiện chức năng công khai thủ tục hành chính đối với người dân, doanh nghiệp và trong nội bộ cơ quan hành chính nhà nước, mà còn hỗ trợ điện tử đối với các hoạt động đánh giá tác động, tham vấn chính sách, rà soát, đơn giản hóa, theo dõi, giám sát việc thực hiện kiểm soát thủ tục hành chính. Đồng thời, bổ sung quy định về kết nối, chia sẻ dữ liệu với các hệ thống thông tin, cơ sở dữ liệu quốc gia và chuyên ngành nhằm phục vụ giải quyết thủ tục hành chính, bảo đảm nguyên tắc người dân, doanh nghiệp không phải cung cấp lại thông tin mà cơ quan nhà nước đã có.</w:t>
      </w:r>
    </w:p>
    <w:p w14:paraId="35584443" w14:textId="7846125F" w:rsidR="00C80848" w:rsidRPr="00565E1C" w:rsidRDefault="007C13E5" w:rsidP="00565E1C">
      <w:pPr>
        <w:tabs>
          <w:tab w:val="left" w:pos="5665"/>
        </w:tabs>
        <w:spacing w:before="120" w:after="120" w:line="288" w:lineRule="auto"/>
        <w:ind w:firstLine="709"/>
        <w:jc w:val="both"/>
        <w:rPr>
          <w:lang w:eastAsia="zh-CN"/>
        </w:rPr>
      </w:pPr>
      <w:r w:rsidRPr="00565E1C">
        <w:rPr>
          <w:lang w:eastAsia="zh-CN"/>
        </w:rPr>
        <w:t xml:space="preserve"> </w:t>
      </w:r>
      <w:r w:rsidR="00BC4394">
        <w:rPr>
          <w:lang w:eastAsia="zh-CN"/>
        </w:rPr>
        <w:t>(7</w:t>
      </w:r>
      <w:r w:rsidR="001E2444" w:rsidRPr="00565E1C">
        <w:rPr>
          <w:lang w:eastAsia="zh-CN"/>
        </w:rPr>
        <w:t>) Bổ sung điều kiện đảm bảo kinh phí thực hiện kiểm soát thủ tục hành chính theo hướng: “Cán bộ, công chức trực tiếp thực hiện nhiệm vụ kiểm soát thủ tục hành chính của bộ, cơ quan ngang bộ và chính quyền địa phương được hưởng hỗ trợ hằng tháng theo chế độ tại Nghị quyết số 197/2025/QH15 ngày 17 tháng 5 năm 2025 của Quốc hội về một số cơ chế, chính sách đặc biệt tạo đột phá trong xây dựng và tổ chức thi hành pháp luật.” nhằm cụ thể hóa quy định tại điểm đ khoản 1 Điều 7 Nghị quyết số 197/2025/QH15 ngày 17 tháng 5 năm 2025 của Quốc hội.</w:t>
      </w:r>
    </w:p>
    <w:p w14:paraId="163F9689" w14:textId="77777777" w:rsidR="00C80848" w:rsidRPr="00565E1C" w:rsidRDefault="00C80848" w:rsidP="008C5ACF">
      <w:pPr>
        <w:pStyle w:val="Heading4"/>
        <w:spacing w:before="120" w:after="120" w:line="288" w:lineRule="auto"/>
        <w:ind w:firstLine="709"/>
        <w:rPr>
          <w:rFonts w:ascii="Times New Roman" w:hAnsi="Times New Roman" w:cs="Times New Roman"/>
          <w:color w:val="000000" w:themeColor="text1"/>
        </w:rPr>
      </w:pPr>
      <w:r w:rsidRPr="00565E1C">
        <w:rPr>
          <w:rFonts w:ascii="Times New Roman" w:hAnsi="Times New Roman" w:cs="Times New Roman"/>
          <w:color w:val="000000" w:themeColor="text1"/>
        </w:rPr>
        <w:lastRenderedPageBreak/>
        <w:t>c) Những nội dung bổ sung mới</w:t>
      </w:r>
    </w:p>
    <w:p w14:paraId="3912B992" w14:textId="118508C2" w:rsidR="00C80848" w:rsidRPr="00565E1C" w:rsidRDefault="001E2444" w:rsidP="008C5ACF">
      <w:pPr>
        <w:spacing w:before="120" w:after="120" w:line="288" w:lineRule="auto"/>
        <w:jc w:val="both"/>
      </w:pPr>
      <w:r w:rsidRPr="00565E1C">
        <w:tab/>
        <w:t xml:space="preserve">(1) </w:t>
      </w:r>
      <w:r w:rsidRPr="008C5ACF">
        <w:rPr>
          <w:rStyle w:val="Strong"/>
          <w:b w:val="0"/>
        </w:rPr>
        <w:t xml:space="preserve">Bổ sung quy định về nguyên tắc đối với thủ tục hành chính </w:t>
      </w:r>
      <w:r w:rsidR="00BC4394">
        <w:rPr>
          <w:rStyle w:val="Strong"/>
          <w:b w:val="0"/>
        </w:rPr>
        <w:t>mà có quy định yêu cầu,</w:t>
      </w:r>
      <w:r w:rsidRPr="008C5ACF">
        <w:rPr>
          <w:rStyle w:val="Strong"/>
          <w:b w:val="0"/>
        </w:rPr>
        <w:t xml:space="preserve"> điều kiện</w:t>
      </w:r>
      <w:r w:rsidR="00BC4394">
        <w:rPr>
          <w:rStyle w:val="Strong"/>
          <w:b w:val="0"/>
        </w:rPr>
        <w:t xml:space="preserve"> </w:t>
      </w:r>
      <w:r w:rsidRPr="00565E1C">
        <w:t>theo hướng quản lý dựa trên rủi ro, bảo đảm quyền tự do kinh doanh, cạnh tranh bình đẳng và hạn chế tối đa cơ chế tiền kiểm không cần thiết. Theo đó, ưu tiên áp dụng các biện pháp quản lý đơn giản đối với lĩnh vực rủi ro thấp, tăng cường chuyển từ tiền kiểm sang hậu kiểm và kiểm soát chặt chẽ việc quy định điều kiện kinh doanh, thủ tục hành chính nhằm tránh tạo rào cản gia nhập thị trường hoặc hạn chế cạnh tranh không cần thiết.</w:t>
      </w:r>
    </w:p>
    <w:p w14:paraId="5D9EF746" w14:textId="77777777" w:rsidR="00F90F30" w:rsidRPr="00565E1C" w:rsidRDefault="001E2444" w:rsidP="00565E1C">
      <w:pPr>
        <w:pStyle w:val="isselectedend"/>
        <w:spacing w:before="120" w:beforeAutospacing="0" w:after="120" w:afterAutospacing="0" w:line="288" w:lineRule="auto"/>
        <w:jc w:val="both"/>
        <w:rPr>
          <w:sz w:val="28"/>
          <w:szCs w:val="28"/>
        </w:rPr>
      </w:pPr>
      <w:r w:rsidRPr="00565E1C">
        <w:rPr>
          <w:sz w:val="28"/>
          <w:szCs w:val="28"/>
        </w:rPr>
        <w:tab/>
        <w:t xml:space="preserve">(2) </w:t>
      </w:r>
      <w:r w:rsidR="00F90F30" w:rsidRPr="008C5ACF">
        <w:rPr>
          <w:bCs/>
          <w:sz w:val="28"/>
          <w:szCs w:val="28"/>
        </w:rPr>
        <w:t>Bổ sung quy định về thẩm quyền quy định thủ tục hành chính:</w:t>
      </w:r>
      <w:r w:rsidR="00F90F30" w:rsidRPr="00565E1C">
        <w:rPr>
          <w:sz w:val="28"/>
          <w:szCs w:val="28"/>
        </w:rPr>
        <w:t xml:space="preserve"> Dự thảo Nghị định bổ sung quy định về nguyên tắc xác định thẩm quyền quy định thủ tục hành chính theo hướng bảo đảm tính thống nhất, đồng bộ trong quản lý nhà nước và phù hợp với phạm vi tác động của thủ tục hành chính. Theo đó, các thủ tục hành chính có phạm vi áp dụng toàn quốc, liên quan đến quyền, nghĩa vụ cơ bản của cá nhân, tổ chức, thủ tục hành chính có điều kiện hoặc liên quan đến nhiều ngành, lĩnh vực phải được quy định từ nghị định trở lên để bảo đảm tính thống nhất trong tổ chức thực hiện.</w:t>
      </w:r>
    </w:p>
    <w:p w14:paraId="36813051" w14:textId="77777777" w:rsidR="00F90F30" w:rsidRPr="00565E1C" w:rsidRDefault="00F90F30" w:rsidP="00565E1C">
      <w:pPr>
        <w:spacing w:before="120" w:after="120" w:line="288" w:lineRule="auto"/>
        <w:ind w:firstLine="720"/>
        <w:jc w:val="both"/>
      </w:pPr>
      <w:r w:rsidRPr="00565E1C">
        <w:t>Dự thảo đồng thời quy định việc phân quyền, phân cấp, ủy quyền trong quy định thủ tục hành chính chỉ thực hiện trong trường hợp cần thiết, gắn với đặc thù của địa phương; cho phép địa phương chủ động quy định đơn giản hóa thủ tục hành chính thuộc thẩm quyền giải quyết hoặc quy định thủ tục hành chính đặc thù để thực hiện biện pháp quản lý, phát triển kinh tế – xã hội tại địa phương theo quy định của pháp luật.</w:t>
      </w:r>
    </w:p>
    <w:p w14:paraId="15275EE2" w14:textId="0847F31C" w:rsidR="00F90F30" w:rsidRPr="00565E1C" w:rsidRDefault="00F90F30" w:rsidP="00E16791">
      <w:pPr>
        <w:spacing w:before="120" w:line="288" w:lineRule="auto"/>
        <w:ind w:firstLine="720"/>
        <w:jc w:val="both"/>
      </w:pPr>
      <w:r w:rsidRPr="00565E1C">
        <w:t>Việc bổ sung các quy định này nhằm thể chế hóa chủ trương của Đảng tại Nghị quyết số 66-NQ/TW</w:t>
      </w:r>
      <w:r w:rsidR="007C13E5">
        <w:t>, 68-NQ/TW</w:t>
      </w:r>
      <w:r w:rsidRPr="00565E1C">
        <w:t xml:space="preserve"> về bảo đảm quyền tự do sản xuất, kinh doanh; đồng thời bảo đảm thống nhất với quy định của Luật Đầu tư về kiểm soát điều kiện đầu tư, kinh doanh và thẩm quyền quy định thủ tục hành chính liên quan đến hoạt động sản xuất, kinh doanh.</w:t>
      </w:r>
    </w:p>
    <w:p w14:paraId="2E8224AD" w14:textId="5E3CD435" w:rsidR="00F90F30" w:rsidRPr="00565E1C" w:rsidRDefault="00F90F30" w:rsidP="00E16791">
      <w:pPr>
        <w:spacing w:before="120" w:line="288" w:lineRule="auto"/>
        <w:ind w:firstLine="720"/>
        <w:jc w:val="both"/>
      </w:pPr>
      <w:r w:rsidRPr="00565E1C">
        <w:t xml:space="preserve">(3) </w:t>
      </w:r>
      <w:r w:rsidRPr="008C5ACF">
        <w:rPr>
          <w:rStyle w:val="Strong"/>
          <w:b w:val="0"/>
        </w:rPr>
        <w:t>Bổ sung nguyên tắc lấy ý kiến công chúng trước khi ban hành quy định hành chính:</w:t>
      </w:r>
      <w:r w:rsidRPr="00565E1C">
        <w:t xml:space="preserve"> Dự thảo Nghị định bổ sung quy định về trách nhiệm lấy ý kiến công chúng trước khi ban hành, sửa đổi, bổ sung quy định hành chính nhằm bảo đảm tính minh bạch, hợp lý và khả thi của chính sách, thủ tục hành chính. Theo đó, việc lấy ý kiến phải được thực hiện thông qua nhiều hình thức phù hợp, trong đó bắt buộc công khai dự thảo trên Cổng Dịch vụ công quốc gia để cá nhân, tổ chức tham gia góp ý, phản biện. Dự thảo đồng thời quy định trách nhiệm của cơ quan chủ trì soạn thảo trong việc tổng hợp, giải trình, tiếp thu ý kiến góp ý trước khi ban hành quy định hành chính.</w:t>
      </w:r>
    </w:p>
    <w:p w14:paraId="4E6C833A" w14:textId="17006A23" w:rsidR="00F90F30" w:rsidRPr="00E16791" w:rsidRDefault="00F90F30" w:rsidP="00E16791">
      <w:pPr>
        <w:pStyle w:val="NormalWeb"/>
        <w:spacing w:line="288" w:lineRule="auto"/>
        <w:ind w:firstLine="720"/>
        <w:rPr>
          <w:rStyle w:val="Strong"/>
          <w:b w:val="0"/>
        </w:rPr>
      </w:pPr>
      <w:r w:rsidRPr="00565E1C">
        <w:lastRenderedPageBreak/>
        <w:t xml:space="preserve">(4) </w:t>
      </w:r>
      <w:r w:rsidRPr="00E16791">
        <w:rPr>
          <w:rStyle w:val="Strong"/>
          <w:b w:val="0"/>
        </w:rPr>
        <w:t xml:space="preserve">Bổ sung quy định về </w:t>
      </w:r>
      <w:r w:rsidR="00E16791" w:rsidRPr="00E16791">
        <w:rPr>
          <w:rStyle w:val="Strong"/>
          <w:b w:val="0"/>
        </w:rPr>
        <w:t>đăng ký dự kiến</w:t>
      </w:r>
      <w:r w:rsidRPr="00E16791">
        <w:rPr>
          <w:rStyle w:val="Strong"/>
          <w:b w:val="0"/>
        </w:rPr>
        <w:t xml:space="preserve"> thủ tục hành chính mới: </w:t>
      </w:r>
      <w:r w:rsidR="00E16791" w:rsidRPr="00E16791">
        <w:rPr>
          <w:rStyle w:val="Strong"/>
          <w:b w:val="0"/>
        </w:rPr>
        <w:t xml:space="preserve">Bộ, cơ quan ngang bộ, Ủy ban nhân dân các cấp và cơ quan, tổ chức có thẩm quyền ban hành văn bản quy phạm pháp luật (sau đây gọi chung là cơ quan có thẩm quyền) có trách nhiệm đăng ký dự kiến ban hành thủ tục hành chính mới thuộc phạm vi quản lý của mình với Bộ Tư pháp để công khai, tham vấn trước khi trình hoặc ban hành. </w:t>
      </w:r>
      <w:r w:rsidRPr="00E16791">
        <w:rPr>
          <w:rStyle w:val="Strong"/>
          <w:b w:val="0"/>
        </w:rPr>
        <w:t>Đồng thời, bổ sung cơ chế tham vấn công khai, giải trình việc tiếp thu ý kiến và kiểm soát việc áp dụng ngoại lệ nhằm bảo đảm kiểm soát chặt chẽ việc hình thành thủ tục hành chính mới ngay từ giai đoạn đề xuất chính sách, xây dựng văn bản quy phạm pháp luật.</w:t>
      </w:r>
    </w:p>
    <w:p w14:paraId="3D936C75" w14:textId="05E83187" w:rsidR="004B5344" w:rsidRPr="00565E1C" w:rsidRDefault="00151F3E" w:rsidP="00565E1C">
      <w:pPr>
        <w:suppressAutoHyphens/>
        <w:autoSpaceDE w:val="0"/>
        <w:autoSpaceDN w:val="0"/>
        <w:adjustRightInd w:val="0"/>
        <w:spacing w:before="120" w:after="120" w:line="288" w:lineRule="auto"/>
        <w:ind w:firstLine="567"/>
        <w:jc w:val="both"/>
        <w:outlineLvl w:val="0"/>
        <w:rPr>
          <w:b/>
          <w:color w:val="000000"/>
          <w:lang w:val="vi-VN" w:eastAsia="zh-CN"/>
        </w:rPr>
      </w:pPr>
      <w:r w:rsidRPr="00565E1C">
        <w:rPr>
          <w:rFonts w:eastAsia="Calibri"/>
          <w:b/>
          <w:bCs/>
          <w:spacing w:val="2"/>
          <w:lang w:eastAsia="zh-CN"/>
        </w:rPr>
        <w:t>4</w:t>
      </w:r>
      <w:r w:rsidR="004B5344" w:rsidRPr="00565E1C">
        <w:rPr>
          <w:rFonts w:eastAsia="Calibri"/>
          <w:b/>
          <w:bCs/>
          <w:spacing w:val="2"/>
          <w:lang w:val="vi-VN" w:eastAsia="zh-CN"/>
        </w:rPr>
        <w:t xml:space="preserve">. </w:t>
      </w:r>
      <w:r w:rsidR="004B5344" w:rsidRPr="00565E1C">
        <w:rPr>
          <w:b/>
          <w:color w:val="000000"/>
          <w:lang w:val="vi-VN" w:eastAsia="zh-CN"/>
        </w:rPr>
        <w:t>Nội dung cắt giảm, đơn giản hóa thủ tục hành chính</w:t>
      </w:r>
    </w:p>
    <w:p w14:paraId="5BB49DD1" w14:textId="7C45FAFE" w:rsidR="004B5344" w:rsidRPr="00565E1C" w:rsidRDefault="004B5344" w:rsidP="00565E1C">
      <w:pPr>
        <w:suppressAutoHyphens/>
        <w:autoSpaceDE w:val="0"/>
        <w:autoSpaceDN w:val="0"/>
        <w:adjustRightInd w:val="0"/>
        <w:spacing w:before="120" w:after="120" w:line="288" w:lineRule="auto"/>
        <w:ind w:firstLine="567"/>
        <w:jc w:val="both"/>
        <w:outlineLvl w:val="0"/>
        <w:rPr>
          <w:color w:val="000000"/>
          <w:lang w:val="vi-VN" w:eastAsia="zh-CN"/>
        </w:rPr>
      </w:pPr>
      <w:r w:rsidRPr="00565E1C">
        <w:rPr>
          <w:color w:val="000000"/>
          <w:lang w:val="vi-VN" w:eastAsia="zh-CN"/>
        </w:rPr>
        <w:t xml:space="preserve">Các quy định </w:t>
      </w:r>
      <w:r w:rsidR="00D23959" w:rsidRPr="00565E1C">
        <w:rPr>
          <w:color w:val="000000"/>
          <w:lang w:val="vi-VN" w:eastAsia="zh-CN"/>
        </w:rPr>
        <w:t xml:space="preserve">sửa đổi, bổ sung </w:t>
      </w:r>
      <w:r w:rsidRPr="00565E1C">
        <w:rPr>
          <w:color w:val="000000"/>
          <w:lang w:val="vi-VN" w:eastAsia="zh-CN"/>
        </w:rPr>
        <w:t>tại Nghị định</w:t>
      </w:r>
      <w:r w:rsidR="00D23959" w:rsidRPr="00565E1C">
        <w:rPr>
          <w:color w:val="000000"/>
          <w:lang w:val="vi-VN" w:eastAsia="zh-CN"/>
        </w:rPr>
        <w:t xml:space="preserve"> nhằm</w:t>
      </w:r>
      <w:r w:rsidRPr="00565E1C">
        <w:rPr>
          <w:color w:val="000000"/>
          <w:lang w:val="vi-VN" w:eastAsia="zh-CN"/>
        </w:rPr>
        <w:t xml:space="preserve"> </w:t>
      </w:r>
      <w:r w:rsidR="00D23959" w:rsidRPr="00565E1C">
        <w:rPr>
          <w:color w:val="000000"/>
          <w:lang w:val="vi-VN" w:eastAsia="zh-CN"/>
        </w:rPr>
        <w:t xml:space="preserve">nâng cao chất lượng kiểm soát thủ tục hành chính và khả năng giám sát việc giải quyết </w:t>
      </w:r>
      <w:r w:rsidR="006D74AE" w:rsidRPr="00565E1C">
        <w:rPr>
          <w:color w:val="000000"/>
          <w:lang w:val="vi-VN" w:eastAsia="zh-CN"/>
        </w:rPr>
        <w:t>thủ tục hành chính</w:t>
      </w:r>
      <w:r w:rsidR="00D23959" w:rsidRPr="00565E1C">
        <w:rPr>
          <w:color w:val="000000"/>
          <w:lang w:val="vi-VN" w:eastAsia="zh-CN"/>
        </w:rPr>
        <w:t xml:space="preserve">. Dự thảo Nghị định không quy định và không làm phát sinh </w:t>
      </w:r>
      <w:r w:rsidR="006D74AE" w:rsidRPr="00565E1C">
        <w:rPr>
          <w:color w:val="000000"/>
          <w:lang w:val="vi-VN" w:eastAsia="zh-CN"/>
        </w:rPr>
        <w:t>thủ tục hành chính</w:t>
      </w:r>
      <w:r w:rsidR="00D23959" w:rsidRPr="00565E1C">
        <w:rPr>
          <w:color w:val="000000"/>
          <w:lang w:val="vi-VN" w:eastAsia="zh-CN"/>
        </w:rPr>
        <w:t xml:space="preserve">. </w:t>
      </w:r>
    </w:p>
    <w:p w14:paraId="3B17488C" w14:textId="37C0B141" w:rsidR="004B5344" w:rsidRPr="00565E1C" w:rsidRDefault="00151F3E" w:rsidP="00565E1C">
      <w:pPr>
        <w:suppressAutoHyphens/>
        <w:autoSpaceDE w:val="0"/>
        <w:autoSpaceDN w:val="0"/>
        <w:adjustRightInd w:val="0"/>
        <w:spacing w:before="120" w:after="120" w:line="288" w:lineRule="auto"/>
        <w:ind w:firstLine="567"/>
        <w:jc w:val="both"/>
        <w:outlineLvl w:val="0"/>
        <w:rPr>
          <w:b/>
          <w:color w:val="000000"/>
          <w:lang w:val="vi-VN" w:eastAsia="zh-CN"/>
        </w:rPr>
      </w:pPr>
      <w:r w:rsidRPr="00565E1C">
        <w:rPr>
          <w:b/>
          <w:color w:val="000000"/>
          <w:lang w:eastAsia="zh-CN"/>
        </w:rPr>
        <w:t>5</w:t>
      </w:r>
      <w:r w:rsidR="004B5344" w:rsidRPr="00565E1C">
        <w:rPr>
          <w:b/>
          <w:color w:val="000000"/>
          <w:lang w:val="vi-VN" w:eastAsia="zh-CN"/>
        </w:rPr>
        <w:t>. Nội dung phân cấp, phân quyền</w:t>
      </w:r>
    </w:p>
    <w:p w14:paraId="0746F2BD" w14:textId="63A86922" w:rsidR="004B5344" w:rsidRPr="00565E1C" w:rsidRDefault="007133C4" w:rsidP="00565E1C">
      <w:pPr>
        <w:suppressAutoHyphens/>
        <w:autoSpaceDE w:val="0"/>
        <w:autoSpaceDN w:val="0"/>
        <w:adjustRightInd w:val="0"/>
        <w:spacing w:before="120" w:after="120" w:line="288" w:lineRule="auto"/>
        <w:ind w:firstLine="567"/>
        <w:jc w:val="both"/>
        <w:outlineLvl w:val="0"/>
        <w:rPr>
          <w:color w:val="000000"/>
          <w:lang w:val="vi-VN" w:eastAsia="zh-CN"/>
        </w:rPr>
      </w:pPr>
      <w:r>
        <w:rPr>
          <w:color w:val="000000"/>
          <w:lang w:val="vi-VN" w:eastAsia="zh-CN"/>
        </w:rPr>
        <w:t xml:space="preserve">Dự thảo </w:t>
      </w:r>
      <w:r>
        <w:rPr>
          <w:color w:val="000000"/>
          <w:lang w:eastAsia="zh-CN"/>
        </w:rPr>
        <w:t>N</w:t>
      </w:r>
      <w:r w:rsidR="004B5344" w:rsidRPr="00565E1C">
        <w:rPr>
          <w:color w:val="000000"/>
          <w:lang w:val="vi-VN" w:eastAsia="zh-CN"/>
        </w:rPr>
        <w:t xml:space="preserve">ghị định tăng trách nhiệm cho người đứng đầu Bộ phận một cửa </w:t>
      </w:r>
      <w:r w:rsidR="00D23959" w:rsidRPr="00565E1C">
        <w:rPr>
          <w:color w:val="000000"/>
          <w:lang w:val="vi-VN" w:eastAsia="zh-CN"/>
        </w:rPr>
        <w:t xml:space="preserve">các cấp </w:t>
      </w:r>
      <w:r w:rsidR="004B5344" w:rsidRPr="00565E1C">
        <w:rPr>
          <w:color w:val="000000"/>
          <w:lang w:val="vi-VN" w:eastAsia="zh-CN"/>
        </w:rPr>
        <w:t xml:space="preserve">trong việc </w:t>
      </w:r>
      <w:r w:rsidR="00D23959" w:rsidRPr="00565E1C">
        <w:rPr>
          <w:color w:val="000000"/>
          <w:lang w:val="vi-VN" w:eastAsia="zh-CN"/>
        </w:rPr>
        <w:t>kiểm soát thủ tục hành chính từ khâu dự thảo, ban hành, công bố, công khai thủ tục hành chính</w:t>
      </w:r>
      <w:r w:rsidR="004B5344" w:rsidRPr="00565E1C">
        <w:rPr>
          <w:color w:val="000000"/>
          <w:lang w:val="vi-VN" w:eastAsia="zh-CN"/>
        </w:rPr>
        <w:t xml:space="preserve">, đảm bảo sự linh hoạt và hiệu quả trong quản lý, đáp ứng tốt hơn nhu cầu thực tế tại từng địa phương. Theo đó, chính quyền địa phương, đặc biệt ở cấp cơ sở, có thể linh hoạt triển khai </w:t>
      </w:r>
      <w:r w:rsidR="00D23959" w:rsidRPr="00565E1C">
        <w:rPr>
          <w:color w:val="000000"/>
          <w:lang w:val="vi-VN" w:eastAsia="zh-CN"/>
        </w:rPr>
        <w:t xml:space="preserve">các chính sách </w:t>
      </w:r>
      <w:r w:rsidR="004B5344" w:rsidRPr="00565E1C">
        <w:rPr>
          <w:color w:val="000000"/>
          <w:lang w:val="vi-VN" w:eastAsia="zh-CN"/>
        </w:rPr>
        <w:t>phù hợp với điều kiện cụ thể, khẳng định sự chủ động và trách nhiệm trong phục vụ người dân</w:t>
      </w:r>
      <w:r w:rsidR="00D23959" w:rsidRPr="00565E1C">
        <w:rPr>
          <w:color w:val="000000"/>
          <w:lang w:val="vi-VN" w:eastAsia="zh-CN"/>
        </w:rPr>
        <w:t>, doanh nghiệp</w:t>
      </w:r>
      <w:r w:rsidR="004B5344" w:rsidRPr="00565E1C">
        <w:rPr>
          <w:color w:val="000000"/>
          <w:lang w:val="vi-VN" w:eastAsia="zh-CN"/>
        </w:rPr>
        <w:t xml:space="preserve">. </w:t>
      </w:r>
    </w:p>
    <w:p w14:paraId="47DAE1E6" w14:textId="765CE0B4" w:rsidR="004B5344" w:rsidRPr="00565E1C" w:rsidRDefault="00151F3E" w:rsidP="00565E1C">
      <w:pPr>
        <w:suppressAutoHyphens/>
        <w:autoSpaceDE w:val="0"/>
        <w:autoSpaceDN w:val="0"/>
        <w:adjustRightInd w:val="0"/>
        <w:spacing w:before="120" w:after="120" w:line="288" w:lineRule="auto"/>
        <w:ind w:firstLine="567"/>
        <w:jc w:val="both"/>
        <w:outlineLvl w:val="0"/>
        <w:rPr>
          <w:color w:val="000000"/>
          <w:spacing w:val="-4"/>
          <w:lang w:val="vi-VN" w:eastAsia="zh-CN"/>
        </w:rPr>
      </w:pPr>
      <w:r w:rsidRPr="00565E1C">
        <w:rPr>
          <w:b/>
          <w:color w:val="000000"/>
          <w:lang w:eastAsia="zh-CN"/>
        </w:rPr>
        <w:t>6</w:t>
      </w:r>
      <w:r w:rsidR="004B5344" w:rsidRPr="00565E1C">
        <w:rPr>
          <w:b/>
          <w:color w:val="000000"/>
          <w:lang w:val="vi-VN" w:eastAsia="zh-CN"/>
        </w:rPr>
        <w:t>.</w:t>
      </w:r>
      <w:r w:rsidR="004B5344" w:rsidRPr="00565E1C">
        <w:rPr>
          <w:color w:val="000000"/>
          <w:lang w:val="vi-VN" w:eastAsia="zh-CN"/>
        </w:rPr>
        <w:t xml:space="preserve"> </w:t>
      </w:r>
      <w:r w:rsidR="004B5344" w:rsidRPr="00565E1C">
        <w:rPr>
          <w:color w:val="000000"/>
          <w:spacing w:val="-4"/>
          <w:lang w:val="vi-VN" w:eastAsia="zh-CN"/>
        </w:rPr>
        <w:t xml:space="preserve">Nội dung dự thảo Nghị định đã đảm bảo phù hợp và tuân thủ đúng, đầy đủ: (1) Nghị quyết số 66-NQ/TW ngày 30/4/2025 của Bộ Chính trị về đổi mới công tác xây dựng và thi hành pháp luật đáp ứng yêu cầu phát triển đất nước trong kỷ nguyên mới; (2) Quy định số 178-QĐ/TW ngày 27/6/2024 của Bộ Chính trị quy định về kiểm soát quyền lực, phòng, chống tham nhũng tiêu cực trong công tác xây dựng pháp luật; (3) 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(4) Nghị quyết số 190/2025/QH15 ngày 19/02/2025 của Quốc hội quy định về xử lý một số vấn đề liên quan đến sắp xếp tổ chức bộ máy nhà nước; (5) Nghị quyết số 74/2022/QH15 ngày 15/11/2022 của Quốc hội về đẩy mạnh việc thực hiện chính sách, pháp luật về thực hành tiết kiệm, chống lãng phí; (6) Nghị quyết số 110/2023/QH15 ngày 29/11/2023 của Quốc hội về kỳ họp thứ 6 Quốc hội khóa XV (yêu cầu: “ngăn chặn kịp thời và xử lý nghiêm các hành </w:t>
      </w:r>
      <w:r w:rsidR="004B5344" w:rsidRPr="00565E1C">
        <w:rPr>
          <w:color w:val="000000"/>
          <w:spacing w:val="-4"/>
          <w:lang w:val="vi-VN" w:eastAsia="zh-CN"/>
        </w:rPr>
        <w:lastRenderedPageBreak/>
        <w:t>vi tham nhũng, tiêu cực, “lợi ích nhóm”, “lợi ích cục bộ” trong công tác xây dựng và tổ chức thi hành pháp luật” - Mục 3); và (7) Nghị quyết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331918F6" w14:textId="5F130781" w:rsidR="004B5344" w:rsidRPr="00565E1C" w:rsidRDefault="004B5344" w:rsidP="00565E1C">
      <w:pPr>
        <w:tabs>
          <w:tab w:val="right" w:leader="dot" w:pos="7920"/>
        </w:tabs>
        <w:suppressAutoHyphens/>
        <w:spacing w:before="120" w:after="120" w:line="288" w:lineRule="auto"/>
        <w:ind w:firstLine="567"/>
        <w:jc w:val="both"/>
        <w:rPr>
          <w:b/>
          <w:lang w:val="vi-VN" w:eastAsia="zh-CN"/>
        </w:rPr>
      </w:pPr>
      <w:r w:rsidRPr="00565E1C">
        <w:rPr>
          <w:b/>
          <w:lang w:val="vi-VN" w:eastAsia="zh-CN"/>
        </w:rPr>
        <w:t>V. DỰ KIẾN NGUỒN LỰC, ĐIỀU KIỆN BẢO ĐẢM CHO VIỆC THI HÀNH VÀ THỜI GIAN TRÌNH THÔNG QUA</w:t>
      </w:r>
    </w:p>
    <w:p w14:paraId="64DF5820" w14:textId="4FD0F4E3" w:rsidR="004B5344" w:rsidRPr="00EF5C6F" w:rsidRDefault="004B5344" w:rsidP="00565E1C">
      <w:pPr>
        <w:suppressAutoHyphens/>
        <w:spacing w:before="120" w:after="120" w:line="288" w:lineRule="auto"/>
        <w:ind w:firstLine="567"/>
        <w:jc w:val="both"/>
        <w:rPr>
          <w:lang w:eastAsia="zh-CN"/>
        </w:rPr>
      </w:pPr>
      <w:r w:rsidRPr="00565E1C">
        <w:rPr>
          <w:lang w:val="vi-VN" w:eastAsia="zh-CN"/>
        </w:rPr>
        <w:t>1. Nguồn lực, điều kiện bảo đảm cho việc triển khai Nghị định được bố trí từ ngân sách nhà nước cho việc sắp xếp, tổ chức lại đơn vị hành chính các cấp và xây dựng mô hình</w:t>
      </w:r>
      <w:r w:rsidR="00EF5C6F">
        <w:rPr>
          <w:lang w:val="vi-VN" w:eastAsia="zh-CN"/>
        </w:rPr>
        <w:t xml:space="preserve"> chính quyền địa phương 02 cấp</w:t>
      </w:r>
      <w:r w:rsidR="00EF5C6F">
        <w:rPr>
          <w:lang w:eastAsia="zh-CN"/>
        </w:rPr>
        <w:t>, kinh phí xây dựng văn bản quy phạm pháp luật,…</w:t>
      </w:r>
    </w:p>
    <w:p w14:paraId="6744BDC2" w14:textId="0DF1E5F2" w:rsidR="004B5344" w:rsidRPr="00565E1C" w:rsidRDefault="004B5344" w:rsidP="00565E1C">
      <w:pPr>
        <w:suppressAutoHyphens/>
        <w:spacing w:before="120" w:after="120" w:line="288" w:lineRule="auto"/>
        <w:ind w:firstLine="567"/>
        <w:jc w:val="both"/>
        <w:rPr>
          <w:lang w:val="vi-VN" w:eastAsia="zh-CN"/>
        </w:rPr>
      </w:pPr>
      <w:r w:rsidRPr="00565E1C">
        <w:rPr>
          <w:lang w:val="vi-VN" w:eastAsia="zh-CN"/>
        </w:rPr>
        <w:t>Kinh phí thực hiện bao gồm: (1) kinh phí thực hiện được dự toán trong tổng kinh phí chi thường</w:t>
      </w:r>
      <w:r w:rsidRPr="00565E1C">
        <w:rPr>
          <w:i/>
          <w:iCs/>
          <w:lang w:val="vi-VN" w:eastAsia="zh-CN"/>
        </w:rPr>
        <w:t xml:space="preserve"> </w:t>
      </w:r>
      <w:r w:rsidRPr="00565E1C">
        <w:rPr>
          <w:lang w:val="vi-VN" w:eastAsia="zh-CN"/>
        </w:rPr>
        <w:t xml:space="preserve">xuyên cho </w:t>
      </w:r>
      <w:r w:rsidR="00080478">
        <w:rPr>
          <w:lang w:val="vi-VN" w:eastAsia="zh-CN"/>
        </w:rPr>
        <w:t xml:space="preserve">hoạt động quản lý nhà nước của </w:t>
      </w:r>
      <w:r w:rsidR="00080478">
        <w:rPr>
          <w:lang w:eastAsia="zh-CN"/>
        </w:rPr>
        <w:t>B</w:t>
      </w:r>
      <w:r w:rsidRPr="00565E1C">
        <w:rPr>
          <w:lang w:val="vi-VN" w:eastAsia="zh-CN"/>
        </w:rPr>
        <w:t>ộ, ngành, địa phương hàng năm theo quy định của pháp luật về ngân sách nhà nước, (2) được sử dụng các nguồn hợp pháp khác thuộc phạm vi quản lý.</w:t>
      </w:r>
    </w:p>
    <w:p w14:paraId="53309829" w14:textId="0638E16C" w:rsidR="004B5344" w:rsidRPr="00565E1C" w:rsidRDefault="004B5344" w:rsidP="00565E1C">
      <w:pPr>
        <w:tabs>
          <w:tab w:val="right" w:leader="dot" w:pos="7920"/>
        </w:tabs>
        <w:suppressAutoHyphens/>
        <w:spacing w:before="120" w:after="120" w:line="288" w:lineRule="auto"/>
        <w:ind w:firstLine="567"/>
        <w:jc w:val="both"/>
        <w:rPr>
          <w:lang w:val="vi-VN" w:eastAsia="zh-CN"/>
        </w:rPr>
      </w:pPr>
      <w:r w:rsidRPr="00565E1C">
        <w:rPr>
          <w:lang w:val="vi-VN" w:eastAsia="zh-CN"/>
        </w:rPr>
        <w:t xml:space="preserve">2. Dự kiến Nghị định có hiệu lực từ ngày </w:t>
      </w:r>
      <w:r w:rsidR="00151F3E" w:rsidRPr="00565E1C">
        <w:rPr>
          <w:lang w:eastAsia="zh-CN"/>
        </w:rPr>
        <w:t xml:space="preserve">   </w:t>
      </w:r>
      <w:r w:rsidRPr="00565E1C">
        <w:rPr>
          <w:lang w:val="vi-VN" w:eastAsia="zh-CN"/>
        </w:rPr>
        <w:t>/</w:t>
      </w:r>
      <w:r w:rsidR="00151F3E" w:rsidRPr="00565E1C">
        <w:rPr>
          <w:lang w:eastAsia="zh-CN"/>
        </w:rPr>
        <w:t xml:space="preserve">  </w:t>
      </w:r>
      <w:r w:rsidRPr="00565E1C">
        <w:rPr>
          <w:lang w:val="vi-VN" w:eastAsia="zh-CN"/>
        </w:rPr>
        <w:t>/202</w:t>
      </w:r>
      <w:r w:rsidR="00FD552E" w:rsidRPr="00565E1C">
        <w:rPr>
          <w:lang w:val="vi-VN" w:eastAsia="zh-CN"/>
        </w:rPr>
        <w:t>6</w:t>
      </w:r>
      <w:r w:rsidRPr="00565E1C">
        <w:rPr>
          <w:lang w:val="vi-VN" w:eastAsia="zh-CN"/>
        </w:rPr>
        <w:t>.</w:t>
      </w:r>
    </w:p>
    <w:p w14:paraId="0A4A5130" w14:textId="5608C9E1" w:rsidR="004B5344" w:rsidRPr="00565E1C" w:rsidRDefault="004B5344" w:rsidP="00565E1C">
      <w:pPr>
        <w:tabs>
          <w:tab w:val="right" w:leader="dot" w:pos="7920"/>
        </w:tabs>
        <w:suppressAutoHyphens/>
        <w:spacing w:before="120" w:after="120" w:line="288" w:lineRule="auto"/>
        <w:ind w:firstLine="567"/>
        <w:jc w:val="both"/>
        <w:rPr>
          <w:spacing w:val="-8"/>
          <w:lang w:val="vi-VN" w:eastAsia="zh-CN"/>
        </w:rPr>
      </w:pPr>
      <w:r w:rsidRPr="00565E1C">
        <w:rPr>
          <w:spacing w:val="-8"/>
          <w:lang w:val="vi-VN" w:eastAsia="zh-CN"/>
        </w:rPr>
        <w:t xml:space="preserve">Trên đây là Tờ trình về </w:t>
      </w:r>
      <w:r w:rsidRPr="00565E1C">
        <w:rPr>
          <w:bCs/>
          <w:lang w:val="vi-VN" w:eastAsia="zh-CN"/>
        </w:rPr>
        <w:t xml:space="preserve">Nghị </w:t>
      </w:r>
      <w:r w:rsidR="00151F3E" w:rsidRPr="00565E1C">
        <w:rPr>
          <w:bCs/>
          <w:lang w:eastAsia="zh-CN"/>
        </w:rPr>
        <w:t>thay thế Nghị định số 63/2010/NĐ-CP về</w:t>
      </w:r>
      <w:r w:rsidR="00FD552E" w:rsidRPr="00565E1C">
        <w:rPr>
          <w:bCs/>
          <w:lang w:val="vi-VN" w:eastAsia="zh-CN"/>
        </w:rPr>
        <w:t xml:space="preserve"> kiểm soát thủ tục hành chính</w:t>
      </w:r>
      <w:r w:rsidRPr="00565E1C">
        <w:rPr>
          <w:spacing w:val="-8"/>
          <w:lang w:val="vi-VN" w:eastAsia="zh-CN"/>
        </w:rPr>
        <w:t xml:space="preserve">, </w:t>
      </w:r>
      <w:r w:rsidR="0013399D">
        <w:rPr>
          <w:spacing w:val="-8"/>
          <w:lang w:eastAsia="zh-CN"/>
        </w:rPr>
        <w:t>Bộ Tư pháp</w:t>
      </w:r>
      <w:r w:rsidRPr="00565E1C">
        <w:rPr>
          <w:spacing w:val="-8"/>
          <w:lang w:val="vi-VN" w:eastAsia="zh-CN"/>
        </w:rPr>
        <w:t xml:space="preserve"> kính trình Chính phủ xem xét, quyết định.</w:t>
      </w:r>
    </w:p>
    <w:p w14:paraId="60194E51" w14:textId="20367AB3" w:rsidR="004B5344" w:rsidRPr="00AD5F51" w:rsidRDefault="004B5344" w:rsidP="004B5344">
      <w:pPr>
        <w:suppressAutoHyphens/>
        <w:spacing w:before="120" w:after="120"/>
        <w:ind w:firstLine="567"/>
        <w:jc w:val="both"/>
        <w:rPr>
          <w:i/>
          <w:spacing w:val="-6"/>
          <w:lang w:val="vi-VN" w:eastAsia="zh-CN"/>
        </w:rPr>
      </w:pPr>
      <w:r w:rsidRPr="004B5344">
        <w:rPr>
          <w:i/>
          <w:spacing w:val="-6"/>
          <w:lang w:val="vi-VN" w:eastAsia="zh-CN"/>
        </w:rPr>
        <w:t xml:space="preserve">(Xin gửi kèm theo: (1) Dự thảo Nghị định; (2) Bản so sánh dự thảo Nghị định với </w:t>
      </w:r>
      <w:r w:rsidRPr="00AD5F51">
        <w:rPr>
          <w:bCs/>
          <w:i/>
          <w:color w:val="000000"/>
          <w:lang w:val="vi-VN" w:eastAsia="zh-CN"/>
        </w:rPr>
        <w:t xml:space="preserve">Nghị định số </w:t>
      </w:r>
      <w:r w:rsidR="00FD552E" w:rsidRPr="00FD552E">
        <w:rPr>
          <w:bCs/>
          <w:i/>
          <w:color w:val="000000"/>
          <w:lang w:val="vi-VN" w:eastAsia="zh-CN"/>
        </w:rPr>
        <w:t>63</w:t>
      </w:r>
      <w:r w:rsidRPr="00AD5F51">
        <w:rPr>
          <w:bCs/>
          <w:i/>
          <w:color w:val="000000"/>
          <w:lang w:val="vi-VN" w:eastAsia="zh-CN"/>
        </w:rPr>
        <w:t>/201</w:t>
      </w:r>
      <w:r w:rsidR="00FD552E" w:rsidRPr="00FD552E">
        <w:rPr>
          <w:bCs/>
          <w:i/>
          <w:color w:val="000000"/>
          <w:lang w:val="vi-VN" w:eastAsia="zh-CN"/>
        </w:rPr>
        <w:t>0</w:t>
      </w:r>
      <w:r w:rsidRPr="00AD5F51">
        <w:rPr>
          <w:bCs/>
          <w:i/>
          <w:color w:val="000000"/>
          <w:lang w:val="vi-VN" w:eastAsia="zh-CN"/>
        </w:rPr>
        <w:t xml:space="preserve">/NĐ-CP </w:t>
      </w:r>
      <w:r w:rsidR="00FD552E" w:rsidRPr="00FD552E">
        <w:rPr>
          <w:bCs/>
          <w:i/>
          <w:color w:val="000000"/>
          <w:lang w:val="vi-VN" w:eastAsia="zh-CN"/>
        </w:rPr>
        <w:t>(đã được sửa đổi, bổ sung)</w:t>
      </w:r>
      <w:r w:rsidRPr="004B5344">
        <w:rPr>
          <w:i/>
          <w:spacing w:val="-6"/>
          <w:lang w:val="vi-VN" w:eastAsia="zh-CN"/>
        </w:rPr>
        <w:t>; (3) Bản tổng hợp ý kiến, tiếp thu, giải trình, ý kiến góp ý; (4)</w:t>
      </w:r>
      <w:r w:rsidRPr="004B5344">
        <w:rPr>
          <w:rFonts w:eastAsia="Calibri"/>
          <w:i/>
          <w:spacing w:val="-6"/>
          <w:lang w:val="vi-VN" w:eastAsia="zh-CN"/>
        </w:rPr>
        <w:t xml:space="preserve"> </w:t>
      </w:r>
      <w:r w:rsidRPr="004B5344">
        <w:rPr>
          <w:i/>
          <w:spacing w:val="-6"/>
          <w:lang w:val="vi-VN" w:eastAsia="zh-CN"/>
        </w:rPr>
        <w:t>Báo cáo thẩm định; (5) Báo cáo tiếp thu, giải trình ý kiến thẩm định</w:t>
      </w:r>
      <w:r w:rsidR="000D3D3A">
        <w:rPr>
          <w:i/>
          <w:spacing w:val="-6"/>
          <w:lang w:eastAsia="zh-CN"/>
        </w:rPr>
        <w:t xml:space="preserve"> (6) Báo cáo rà soát các chủ trương, đường l</w:t>
      </w:r>
      <w:r w:rsidR="00151F3E">
        <w:rPr>
          <w:i/>
          <w:spacing w:val="-6"/>
          <w:lang w:eastAsia="zh-CN"/>
        </w:rPr>
        <w:t>ố</w:t>
      </w:r>
      <w:r w:rsidR="000D3D3A">
        <w:rPr>
          <w:i/>
          <w:spacing w:val="-6"/>
          <w:lang w:eastAsia="zh-CN"/>
        </w:rPr>
        <w:t>i của Đảng, văn bản quy phạm pháp luật, điều ước quốc tế có liên quan đến dự thảo Nghị định</w:t>
      </w:r>
      <w:r w:rsidRPr="004B5344">
        <w:rPr>
          <w:i/>
          <w:spacing w:val="-6"/>
          <w:lang w:val="vi-VN" w:eastAsia="zh-CN"/>
        </w:rPr>
        <w:t>).</w:t>
      </w:r>
      <w:r w:rsidRPr="00AD5F51">
        <w:rPr>
          <w:i/>
          <w:spacing w:val="-6"/>
          <w:lang w:val="vi-VN" w:eastAsia="zh-CN"/>
        </w:rPr>
        <w:t>/.</w:t>
      </w:r>
    </w:p>
    <w:p w14:paraId="45DE55E3" w14:textId="77777777" w:rsidR="00B51C5D" w:rsidRPr="00AD5F51" w:rsidRDefault="007F34AB" w:rsidP="007B43D5">
      <w:pPr>
        <w:spacing w:before="60" w:after="120"/>
        <w:jc w:val="both"/>
        <w:rPr>
          <w:sz w:val="16"/>
          <w:szCs w:val="16"/>
          <w:lang w:val="vi-VN"/>
        </w:rPr>
      </w:pPr>
      <w:r w:rsidRPr="00AD5F51">
        <w:rPr>
          <w:lang w:val="vi-VN"/>
        </w:rPr>
        <w:tab/>
      </w:r>
      <w:r w:rsidR="0088703F" w:rsidRPr="00AD5F51">
        <w:rPr>
          <w:lang w:val="vi-VN"/>
        </w:rPr>
        <w:t xml:space="preserve"> </w:t>
      </w:r>
    </w:p>
    <w:tbl>
      <w:tblPr>
        <w:tblW w:w="9747" w:type="dxa"/>
        <w:tblLook w:val="04A0" w:firstRow="1" w:lastRow="0" w:firstColumn="1" w:lastColumn="0" w:noHBand="0" w:noVBand="1"/>
      </w:tblPr>
      <w:tblGrid>
        <w:gridCol w:w="5382"/>
        <w:gridCol w:w="4365"/>
      </w:tblGrid>
      <w:tr w:rsidR="00B51C5D" w:rsidRPr="003C34CA" w14:paraId="1BF03D47" w14:textId="77777777" w:rsidTr="00633B9B">
        <w:trPr>
          <w:trHeight w:val="1402"/>
        </w:trPr>
        <w:tc>
          <w:tcPr>
            <w:tcW w:w="5382" w:type="dxa"/>
          </w:tcPr>
          <w:p w14:paraId="7D91C4D8" w14:textId="77777777" w:rsidR="00B51C5D" w:rsidRPr="002F7EC7" w:rsidRDefault="00B51C5D" w:rsidP="00C80FD8">
            <w:pPr>
              <w:ind w:right="-1170"/>
              <w:rPr>
                <w:b/>
                <w:i/>
                <w:sz w:val="24"/>
                <w:szCs w:val="24"/>
                <w:lang w:val="vi-VN"/>
              </w:rPr>
            </w:pPr>
            <w:r w:rsidRPr="002F7EC7">
              <w:rPr>
                <w:b/>
                <w:i/>
                <w:sz w:val="24"/>
                <w:szCs w:val="24"/>
                <w:lang w:val="vi-VN"/>
              </w:rPr>
              <w:t>Nơi nhận:</w:t>
            </w:r>
          </w:p>
          <w:p w14:paraId="5C399B70" w14:textId="77777777" w:rsidR="004B5344" w:rsidRPr="004B5344" w:rsidRDefault="004B5344" w:rsidP="004B5344">
            <w:pPr>
              <w:ind w:right="-1170"/>
              <w:rPr>
                <w:sz w:val="22"/>
                <w:szCs w:val="22"/>
                <w:lang w:val="de-DE"/>
              </w:rPr>
            </w:pPr>
            <w:r w:rsidRPr="004B5344">
              <w:rPr>
                <w:sz w:val="22"/>
                <w:szCs w:val="22"/>
                <w:lang w:val="de-DE"/>
              </w:rPr>
              <w:t>- Như trên;</w:t>
            </w:r>
          </w:p>
          <w:p w14:paraId="290CF307" w14:textId="77777777" w:rsidR="004B5344" w:rsidRPr="004B5344" w:rsidRDefault="004B5344" w:rsidP="004B5344">
            <w:pPr>
              <w:ind w:right="-1170"/>
              <w:rPr>
                <w:sz w:val="22"/>
                <w:szCs w:val="22"/>
                <w:lang w:val="de-DE"/>
              </w:rPr>
            </w:pPr>
            <w:r w:rsidRPr="004B5344">
              <w:rPr>
                <w:sz w:val="22"/>
                <w:szCs w:val="22"/>
                <w:lang w:val="de-DE"/>
              </w:rPr>
              <w:t>- Thủ tướng Chính phủ (để báo cáo);</w:t>
            </w:r>
          </w:p>
          <w:p w14:paraId="70D41720" w14:textId="77777777" w:rsidR="004B5344" w:rsidRPr="004B5344" w:rsidRDefault="004B5344" w:rsidP="004B5344">
            <w:pPr>
              <w:ind w:right="-1170"/>
              <w:rPr>
                <w:sz w:val="22"/>
                <w:szCs w:val="22"/>
                <w:lang w:val="de-DE"/>
              </w:rPr>
            </w:pPr>
            <w:r w:rsidRPr="004B5344">
              <w:rPr>
                <w:sz w:val="22"/>
                <w:szCs w:val="22"/>
                <w:lang w:val="de-DE"/>
              </w:rPr>
              <w:t>- Các Phó Thủ tướng Chính phủ (để báo cáo);</w:t>
            </w:r>
          </w:p>
          <w:p w14:paraId="138820B0" w14:textId="77777777" w:rsidR="004B5344" w:rsidRPr="004B5344" w:rsidRDefault="004B5344" w:rsidP="004B5344">
            <w:pPr>
              <w:ind w:right="-1170"/>
              <w:rPr>
                <w:sz w:val="22"/>
                <w:szCs w:val="22"/>
                <w:lang w:val="de-DE"/>
              </w:rPr>
            </w:pPr>
            <w:r w:rsidRPr="004B5344">
              <w:rPr>
                <w:sz w:val="22"/>
                <w:szCs w:val="22"/>
                <w:lang w:val="de-DE"/>
              </w:rPr>
              <w:t>- Văn phòng Trung ương Đảng;</w:t>
            </w:r>
          </w:p>
          <w:p w14:paraId="7A068229" w14:textId="60CFCC2B" w:rsidR="004B5344" w:rsidRDefault="004B5344">
            <w:pPr>
              <w:ind w:right="-1170"/>
              <w:rPr>
                <w:sz w:val="22"/>
                <w:szCs w:val="22"/>
                <w:lang w:val="de-DE"/>
              </w:rPr>
            </w:pPr>
            <w:r w:rsidRPr="004B5344">
              <w:rPr>
                <w:sz w:val="22"/>
                <w:szCs w:val="22"/>
                <w:lang w:val="de-DE"/>
              </w:rPr>
              <w:t xml:space="preserve">- </w:t>
            </w:r>
            <w:r w:rsidR="00151F3E">
              <w:rPr>
                <w:sz w:val="22"/>
                <w:szCs w:val="22"/>
                <w:lang w:val="de-DE"/>
              </w:rPr>
              <w:t>Văn phòng Chính phủ</w:t>
            </w:r>
            <w:r w:rsidRPr="004B5344">
              <w:rPr>
                <w:sz w:val="22"/>
                <w:szCs w:val="22"/>
                <w:lang w:val="de-DE"/>
              </w:rPr>
              <w:t>;</w:t>
            </w:r>
          </w:p>
          <w:p w14:paraId="66BC5701" w14:textId="77777777" w:rsidR="00B51C5D" w:rsidRPr="003C34CA" w:rsidRDefault="004B5344" w:rsidP="004B5344">
            <w:pPr>
              <w:widowControl w:val="0"/>
              <w:autoSpaceDE w:val="0"/>
              <w:autoSpaceDN w:val="0"/>
              <w:adjustRightInd w:val="0"/>
              <w:rPr>
                <w:color w:val="000000"/>
                <w:sz w:val="24"/>
                <w:szCs w:val="24"/>
              </w:rPr>
            </w:pPr>
            <w:r w:rsidRPr="004B5344">
              <w:rPr>
                <w:sz w:val="22"/>
                <w:szCs w:val="22"/>
                <w:lang w:val="de-DE"/>
              </w:rPr>
              <w:t>- Lưu: VT, KSTT(3).</w:t>
            </w:r>
          </w:p>
        </w:tc>
        <w:tc>
          <w:tcPr>
            <w:tcW w:w="4365" w:type="dxa"/>
          </w:tcPr>
          <w:p w14:paraId="289AFCD2" w14:textId="6EBE3C3D" w:rsidR="00151F3E" w:rsidRDefault="00727CBA" w:rsidP="009D7C06">
            <w:pPr>
              <w:jc w:val="center"/>
              <w:rPr>
                <w:b/>
                <w:sz w:val="26"/>
                <w:szCs w:val="26"/>
              </w:rPr>
            </w:pPr>
            <w:r>
              <w:rPr>
                <w:b/>
                <w:sz w:val="26"/>
                <w:szCs w:val="26"/>
              </w:rPr>
              <w:t>BỘ TRƯỞNG</w:t>
            </w:r>
          </w:p>
          <w:p w14:paraId="7CE5E02E" w14:textId="65019349" w:rsidR="00B51C5D" w:rsidRPr="00B51C5D" w:rsidRDefault="00B51C5D" w:rsidP="00C80FD8">
            <w:pPr>
              <w:widowControl w:val="0"/>
              <w:autoSpaceDE w:val="0"/>
              <w:autoSpaceDN w:val="0"/>
              <w:adjustRightInd w:val="0"/>
              <w:jc w:val="center"/>
              <w:textAlignment w:val="center"/>
              <w:rPr>
                <w:b/>
                <w:bCs/>
                <w:color w:val="FFFFFF" w:themeColor="background1"/>
                <w:sz w:val="26"/>
                <w:szCs w:val="26"/>
              </w:rPr>
            </w:pPr>
            <w:r w:rsidRPr="00B51C5D">
              <w:rPr>
                <w:b/>
                <w:color w:val="FFFFFF" w:themeColor="background1"/>
                <w:sz w:val="26"/>
                <w:szCs w:val="26"/>
              </w:rPr>
              <w:t>[daky]</w:t>
            </w:r>
          </w:p>
          <w:p w14:paraId="19D63315" w14:textId="77777777" w:rsidR="00B51C5D" w:rsidRPr="00B51C5D" w:rsidRDefault="00B51C5D" w:rsidP="00C80FD8">
            <w:pPr>
              <w:widowControl w:val="0"/>
              <w:autoSpaceDE w:val="0"/>
              <w:autoSpaceDN w:val="0"/>
              <w:adjustRightInd w:val="0"/>
              <w:jc w:val="center"/>
              <w:textAlignment w:val="center"/>
              <w:rPr>
                <w:b/>
                <w:bCs/>
                <w:color w:val="FFFFFF" w:themeColor="background1"/>
              </w:rPr>
            </w:pPr>
            <w:r w:rsidRPr="00B51C5D">
              <w:rPr>
                <w:b/>
                <w:bCs/>
                <w:color w:val="FFFFFF" w:themeColor="background1"/>
              </w:rPr>
              <w:t>(đã ký</w:t>
            </w:r>
          </w:p>
          <w:p w14:paraId="49727589" w14:textId="77777777" w:rsidR="00B51C5D" w:rsidRPr="00B51C5D" w:rsidRDefault="00B51C5D" w:rsidP="00C80FD8">
            <w:pPr>
              <w:widowControl w:val="0"/>
              <w:autoSpaceDE w:val="0"/>
              <w:autoSpaceDN w:val="0"/>
              <w:adjustRightInd w:val="0"/>
              <w:jc w:val="center"/>
              <w:textAlignment w:val="center"/>
              <w:rPr>
                <w:b/>
                <w:bCs/>
                <w:color w:val="FFFFFF" w:themeColor="background1"/>
                <w:sz w:val="26"/>
                <w:szCs w:val="26"/>
              </w:rPr>
            </w:pPr>
          </w:p>
          <w:p w14:paraId="4713D87E" w14:textId="77777777" w:rsidR="00B51C5D" w:rsidRPr="00B51C5D" w:rsidRDefault="00B51C5D" w:rsidP="00C80FD8">
            <w:pPr>
              <w:widowControl w:val="0"/>
              <w:autoSpaceDE w:val="0"/>
              <w:autoSpaceDN w:val="0"/>
              <w:adjustRightInd w:val="0"/>
              <w:jc w:val="center"/>
              <w:rPr>
                <w:b/>
                <w:bCs/>
                <w:color w:val="FFFFFF" w:themeColor="background1"/>
                <w:sz w:val="26"/>
                <w:szCs w:val="26"/>
              </w:rPr>
            </w:pPr>
          </w:p>
          <w:p w14:paraId="5F653DCD" w14:textId="77777777" w:rsidR="00B51C5D" w:rsidRPr="00B51C5D" w:rsidRDefault="00B51C5D" w:rsidP="00C80FD8">
            <w:pPr>
              <w:widowControl w:val="0"/>
              <w:autoSpaceDE w:val="0"/>
              <w:autoSpaceDN w:val="0"/>
              <w:adjustRightInd w:val="0"/>
              <w:jc w:val="center"/>
              <w:textAlignment w:val="center"/>
              <w:rPr>
                <w:b/>
                <w:bCs/>
                <w:color w:val="FFFFFF" w:themeColor="background1"/>
                <w:sz w:val="26"/>
                <w:szCs w:val="26"/>
              </w:rPr>
            </w:pPr>
          </w:p>
          <w:p w14:paraId="4A00CE1E" w14:textId="087C4E0F" w:rsidR="00B51C5D" w:rsidRPr="001A3937" w:rsidRDefault="000C5093" w:rsidP="00C80FD8">
            <w:pPr>
              <w:widowControl w:val="0"/>
              <w:autoSpaceDE w:val="0"/>
              <w:autoSpaceDN w:val="0"/>
              <w:adjustRightInd w:val="0"/>
              <w:jc w:val="center"/>
              <w:rPr>
                <w:b/>
                <w:bCs/>
                <w:color w:val="000000"/>
              </w:rPr>
            </w:pPr>
            <w:r>
              <w:rPr>
                <w:b/>
                <w:bCs/>
                <w:color w:val="000000"/>
              </w:rPr>
              <w:t>Hoàng Thanh Tùng</w:t>
            </w:r>
            <w:r w:rsidR="00B51C5D" w:rsidRPr="001A3937">
              <w:rPr>
                <w:b/>
                <w:bCs/>
                <w:color w:val="000000"/>
              </w:rPr>
              <w:t xml:space="preserve">  </w:t>
            </w:r>
          </w:p>
        </w:tc>
      </w:tr>
    </w:tbl>
    <w:p w14:paraId="6A6B813E" w14:textId="77777777" w:rsidR="00B51C5D" w:rsidRDefault="00B51C5D"/>
    <w:p w14:paraId="394A070F" w14:textId="77777777" w:rsidR="00B51C5D" w:rsidRDefault="00B51C5D"/>
    <w:sectPr w:rsidR="00B51C5D" w:rsidSect="004B5344">
      <w:headerReference w:type="default" r:id="rId8"/>
      <w:pgSz w:w="11907" w:h="16840" w:code="9"/>
      <w:pgMar w:top="1021"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80A1A" w14:textId="77777777" w:rsidR="008444EF" w:rsidRDefault="008444EF" w:rsidP="006B25D7">
      <w:r>
        <w:separator/>
      </w:r>
    </w:p>
  </w:endnote>
  <w:endnote w:type="continuationSeparator" w:id="0">
    <w:p w14:paraId="631F9254" w14:textId="77777777" w:rsidR="008444EF" w:rsidRDefault="008444EF" w:rsidP="006B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A3315" w14:textId="77777777" w:rsidR="008444EF" w:rsidRDefault="008444EF" w:rsidP="006B25D7">
      <w:r>
        <w:separator/>
      </w:r>
    </w:p>
  </w:footnote>
  <w:footnote w:type="continuationSeparator" w:id="0">
    <w:p w14:paraId="59F486A5" w14:textId="77777777" w:rsidR="008444EF" w:rsidRDefault="008444EF" w:rsidP="006B25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538291"/>
      <w:docPartObj>
        <w:docPartGallery w:val="Page Numbers (Top of Page)"/>
        <w:docPartUnique/>
      </w:docPartObj>
    </w:sdtPr>
    <w:sdtEndPr>
      <w:rPr>
        <w:noProof/>
      </w:rPr>
    </w:sdtEndPr>
    <w:sdtContent>
      <w:p w14:paraId="66A0CCBC" w14:textId="4A888105" w:rsidR="00A94715" w:rsidRDefault="00A94715">
        <w:pPr>
          <w:pStyle w:val="Header"/>
          <w:jc w:val="center"/>
        </w:pPr>
        <w:r>
          <w:fldChar w:fldCharType="begin"/>
        </w:r>
        <w:r>
          <w:instrText xml:space="preserve"> PAGE   \* MERGEFORMAT </w:instrText>
        </w:r>
        <w:r>
          <w:fldChar w:fldCharType="separate"/>
        </w:r>
        <w:r w:rsidR="007D505D">
          <w:rPr>
            <w:noProof/>
          </w:rPr>
          <w:t>16</w:t>
        </w:r>
        <w:r>
          <w:rPr>
            <w:noProof/>
          </w:rPr>
          <w:fldChar w:fldCharType="end"/>
        </w:r>
      </w:p>
    </w:sdtContent>
  </w:sdt>
  <w:p w14:paraId="41DB3AF0" w14:textId="77777777" w:rsidR="00A94715" w:rsidRDefault="00A9471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E5B2D"/>
    <w:multiLevelType w:val="hybridMultilevel"/>
    <w:tmpl w:val="F53807AA"/>
    <w:lvl w:ilvl="0" w:tplc="54F0023C">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 w15:restartNumberingAfterBreak="0">
    <w:nsid w:val="103C028A"/>
    <w:multiLevelType w:val="multilevel"/>
    <w:tmpl w:val="2264C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040F2"/>
    <w:multiLevelType w:val="hybridMultilevel"/>
    <w:tmpl w:val="997250CC"/>
    <w:lvl w:ilvl="0" w:tplc="85CED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B93322"/>
    <w:multiLevelType w:val="hybridMultilevel"/>
    <w:tmpl w:val="DFC054FA"/>
    <w:lvl w:ilvl="0" w:tplc="EB721C9E">
      <w:start w:val="1"/>
      <w:numFmt w:val="bullet"/>
      <w:lvlText w:val="-"/>
      <w:lvlJc w:val="left"/>
      <w:pPr>
        <w:tabs>
          <w:tab w:val="num" w:pos="2820"/>
        </w:tabs>
        <w:ind w:left="2820" w:hanging="360"/>
      </w:pPr>
      <w:rPr>
        <w:rFonts w:ascii="Times New Roman" w:eastAsia="Times New Roman" w:hAnsi="Times New Roman" w:cs="Times New Roman" w:hint="default"/>
      </w:rPr>
    </w:lvl>
    <w:lvl w:ilvl="1" w:tplc="04090003">
      <w:start w:val="1"/>
      <w:numFmt w:val="bullet"/>
      <w:lvlText w:val="o"/>
      <w:lvlJc w:val="left"/>
      <w:pPr>
        <w:tabs>
          <w:tab w:val="num" w:pos="3540"/>
        </w:tabs>
        <w:ind w:left="3540" w:hanging="360"/>
      </w:pPr>
      <w:rPr>
        <w:rFonts w:ascii="Courier New" w:hAnsi="Courier New" w:cs="Courier New" w:hint="default"/>
      </w:rPr>
    </w:lvl>
    <w:lvl w:ilvl="2" w:tplc="04090005" w:tentative="1">
      <w:start w:val="1"/>
      <w:numFmt w:val="bullet"/>
      <w:lvlText w:val=""/>
      <w:lvlJc w:val="left"/>
      <w:pPr>
        <w:tabs>
          <w:tab w:val="num" w:pos="4260"/>
        </w:tabs>
        <w:ind w:left="4260" w:hanging="360"/>
      </w:pPr>
      <w:rPr>
        <w:rFonts w:ascii="Wingdings" w:hAnsi="Wingdings" w:hint="default"/>
      </w:rPr>
    </w:lvl>
    <w:lvl w:ilvl="3" w:tplc="04090001" w:tentative="1">
      <w:start w:val="1"/>
      <w:numFmt w:val="bullet"/>
      <w:lvlText w:val=""/>
      <w:lvlJc w:val="left"/>
      <w:pPr>
        <w:tabs>
          <w:tab w:val="num" w:pos="4980"/>
        </w:tabs>
        <w:ind w:left="4980" w:hanging="360"/>
      </w:pPr>
      <w:rPr>
        <w:rFonts w:ascii="Symbol" w:hAnsi="Symbol" w:hint="default"/>
      </w:rPr>
    </w:lvl>
    <w:lvl w:ilvl="4" w:tplc="04090003" w:tentative="1">
      <w:start w:val="1"/>
      <w:numFmt w:val="bullet"/>
      <w:lvlText w:val="o"/>
      <w:lvlJc w:val="left"/>
      <w:pPr>
        <w:tabs>
          <w:tab w:val="num" w:pos="5700"/>
        </w:tabs>
        <w:ind w:left="5700" w:hanging="360"/>
      </w:pPr>
      <w:rPr>
        <w:rFonts w:ascii="Courier New" w:hAnsi="Courier New" w:cs="Courier New" w:hint="default"/>
      </w:rPr>
    </w:lvl>
    <w:lvl w:ilvl="5" w:tplc="04090005" w:tentative="1">
      <w:start w:val="1"/>
      <w:numFmt w:val="bullet"/>
      <w:lvlText w:val=""/>
      <w:lvlJc w:val="left"/>
      <w:pPr>
        <w:tabs>
          <w:tab w:val="num" w:pos="6420"/>
        </w:tabs>
        <w:ind w:left="6420" w:hanging="360"/>
      </w:pPr>
      <w:rPr>
        <w:rFonts w:ascii="Wingdings" w:hAnsi="Wingdings" w:hint="default"/>
      </w:rPr>
    </w:lvl>
    <w:lvl w:ilvl="6" w:tplc="04090001" w:tentative="1">
      <w:start w:val="1"/>
      <w:numFmt w:val="bullet"/>
      <w:lvlText w:val=""/>
      <w:lvlJc w:val="left"/>
      <w:pPr>
        <w:tabs>
          <w:tab w:val="num" w:pos="7140"/>
        </w:tabs>
        <w:ind w:left="7140" w:hanging="360"/>
      </w:pPr>
      <w:rPr>
        <w:rFonts w:ascii="Symbol" w:hAnsi="Symbol" w:hint="default"/>
      </w:rPr>
    </w:lvl>
    <w:lvl w:ilvl="7" w:tplc="04090003" w:tentative="1">
      <w:start w:val="1"/>
      <w:numFmt w:val="bullet"/>
      <w:lvlText w:val="o"/>
      <w:lvlJc w:val="left"/>
      <w:pPr>
        <w:tabs>
          <w:tab w:val="num" w:pos="7860"/>
        </w:tabs>
        <w:ind w:left="7860" w:hanging="360"/>
      </w:pPr>
      <w:rPr>
        <w:rFonts w:ascii="Courier New" w:hAnsi="Courier New" w:cs="Courier New" w:hint="default"/>
      </w:rPr>
    </w:lvl>
    <w:lvl w:ilvl="8" w:tplc="04090005" w:tentative="1">
      <w:start w:val="1"/>
      <w:numFmt w:val="bullet"/>
      <w:lvlText w:val=""/>
      <w:lvlJc w:val="left"/>
      <w:pPr>
        <w:tabs>
          <w:tab w:val="num" w:pos="8580"/>
        </w:tabs>
        <w:ind w:left="8580" w:hanging="360"/>
      </w:pPr>
      <w:rPr>
        <w:rFonts w:ascii="Wingdings" w:hAnsi="Wingdings" w:hint="default"/>
      </w:rPr>
    </w:lvl>
  </w:abstractNum>
  <w:abstractNum w:abstractNumId="4" w15:restartNumberingAfterBreak="0">
    <w:nsid w:val="1A0442D9"/>
    <w:multiLevelType w:val="multilevel"/>
    <w:tmpl w:val="7FDA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F577B"/>
    <w:multiLevelType w:val="hybridMultilevel"/>
    <w:tmpl w:val="B8261F9A"/>
    <w:lvl w:ilvl="0" w:tplc="A24264A6">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6" w15:restartNumberingAfterBreak="0">
    <w:nsid w:val="2AF82792"/>
    <w:multiLevelType w:val="multilevel"/>
    <w:tmpl w:val="7FC2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695489"/>
    <w:multiLevelType w:val="multilevel"/>
    <w:tmpl w:val="C1C0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3E4AAA"/>
    <w:multiLevelType w:val="multilevel"/>
    <w:tmpl w:val="425E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42BE4"/>
    <w:multiLevelType w:val="hybridMultilevel"/>
    <w:tmpl w:val="EBFEFB66"/>
    <w:lvl w:ilvl="0" w:tplc="4CE44D6E">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8635DC2"/>
    <w:multiLevelType w:val="multilevel"/>
    <w:tmpl w:val="37FC25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DC6A4D"/>
    <w:multiLevelType w:val="hybridMultilevel"/>
    <w:tmpl w:val="7AEE8A24"/>
    <w:lvl w:ilvl="0" w:tplc="F11418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9B7539"/>
    <w:multiLevelType w:val="multilevel"/>
    <w:tmpl w:val="C51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CE0E11"/>
    <w:multiLevelType w:val="hybridMultilevel"/>
    <w:tmpl w:val="2F30B276"/>
    <w:lvl w:ilvl="0" w:tplc="EFBEE2FA">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8D25BC"/>
    <w:multiLevelType w:val="hybridMultilevel"/>
    <w:tmpl w:val="CB9EFCEA"/>
    <w:lvl w:ilvl="0" w:tplc="545006A2">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80A6F62"/>
    <w:multiLevelType w:val="hybridMultilevel"/>
    <w:tmpl w:val="4B1E4840"/>
    <w:lvl w:ilvl="0" w:tplc="A8F8B320">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D0327E7"/>
    <w:multiLevelType w:val="hybridMultilevel"/>
    <w:tmpl w:val="8B2480BC"/>
    <w:lvl w:ilvl="0" w:tplc="C2224760">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27F29FC"/>
    <w:multiLevelType w:val="hybridMultilevel"/>
    <w:tmpl w:val="A93602BE"/>
    <w:lvl w:ilvl="0" w:tplc="B0CAB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9BE1B0A"/>
    <w:multiLevelType w:val="hybridMultilevel"/>
    <w:tmpl w:val="3238FA50"/>
    <w:lvl w:ilvl="0" w:tplc="539C0814">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9" w15:restartNumberingAfterBreak="0">
    <w:nsid w:val="5CD3590C"/>
    <w:multiLevelType w:val="multilevel"/>
    <w:tmpl w:val="EDA0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E9277A"/>
    <w:multiLevelType w:val="hybridMultilevel"/>
    <w:tmpl w:val="3A843AA2"/>
    <w:lvl w:ilvl="0" w:tplc="AC64062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1" w15:restartNumberingAfterBreak="0">
    <w:nsid w:val="5FC6024D"/>
    <w:multiLevelType w:val="hybridMultilevel"/>
    <w:tmpl w:val="799E492E"/>
    <w:lvl w:ilvl="0" w:tplc="5E64ACEC">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65455366"/>
    <w:multiLevelType w:val="hybridMultilevel"/>
    <w:tmpl w:val="03A8A808"/>
    <w:lvl w:ilvl="0" w:tplc="17020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D866C1"/>
    <w:multiLevelType w:val="hybridMultilevel"/>
    <w:tmpl w:val="3DD210D4"/>
    <w:lvl w:ilvl="0" w:tplc="D2E89F5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4" w15:restartNumberingAfterBreak="0">
    <w:nsid w:val="70E5449C"/>
    <w:multiLevelType w:val="hybridMultilevel"/>
    <w:tmpl w:val="E3D85750"/>
    <w:lvl w:ilvl="0" w:tplc="0D5E3F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AF60988"/>
    <w:multiLevelType w:val="multilevel"/>
    <w:tmpl w:val="C38EBB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8"/>
  </w:num>
  <w:num w:numId="3">
    <w:abstractNumId w:val="5"/>
  </w:num>
  <w:num w:numId="4">
    <w:abstractNumId w:val="22"/>
  </w:num>
  <w:num w:numId="5">
    <w:abstractNumId w:val="24"/>
  </w:num>
  <w:num w:numId="6">
    <w:abstractNumId w:val="2"/>
  </w:num>
  <w:num w:numId="7">
    <w:abstractNumId w:val="17"/>
  </w:num>
  <w:num w:numId="8">
    <w:abstractNumId w:val="9"/>
  </w:num>
  <w:num w:numId="9">
    <w:abstractNumId w:val="21"/>
  </w:num>
  <w:num w:numId="10">
    <w:abstractNumId w:val="0"/>
  </w:num>
  <w:num w:numId="11">
    <w:abstractNumId w:val="14"/>
  </w:num>
  <w:num w:numId="12">
    <w:abstractNumId w:val="23"/>
  </w:num>
  <w:num w:numId="13">
    <w:abstractNumId w:val="13"/>
  </w:num>
  <w:num w:numId="14">
    <w:abstractNumId w:val="20"/>
  </w:num>
  <w:num w:numId="15">
    <w:abstractNumId w:val="11"/>
  </w:num>
  <w:num w:numId="16">
    <w:abstractNumId w:val="10"/>
  </w:num>
  <w:num w:numId="17">
    <w:abstractNumId w:val="25"/>
  </w:num>
  <w:num w:numId="18">
    <w:abstractNumId w:val="7"/>
  </w:num>
  <w:num w:numId="19">
    <w:abstractNumId w:val="12"/>
  </w:num>
  <w:num w:numId="20">
    <w:abstractNumId w:val="8"/>
  </w:num>
  <w:num w:numId="21">
    <w:abstractNumId w:val="4"/>
  </w:num>
  <w:num w:numId="22">
    <w:abstractNumId w:val="1"/>
  </w:num>
  <w:num w:numId="23">
    <w:abstractNumId w:val="6"/>
  </w:num>
  <w:num w:numId="24">
    <w:abstractNumId w:val="19"/>
  </w:num>
  <w:num w:numId="25">
    <w:abstractNumId w:val="1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7C"/>
    <w:rsid w:val="00000189"/>
    <w:rsid w:val="000055DC"/>
    <w:rsid w:val="00005772"/>
    <w:rsid w:val="00010A9C"/>
    <w:rsid w:val="00010C9C"/>
    <w:rsid w:val="000115F2"/>
    <w:rsid w:val="00021B69"/>
    <w:rsid w:val="0002295D"/>
    <w:rsid w:val="00026125"/>
    <w:rsid w:val="00026139"/>
    <w:rsid w:val="00026F52"/>
    <w:rsid w:val="00027574"/>
    <w:rsid w:val="00033ECE"/>
    <w:rsid w:val="0003426B"/>
    <w:rsid w:val="000360B5"/>
    <w:rsid w:val="00036C3A"/>
    <w:rsid w:val="000464F0"/>
    <w:rsid w:val="00050C44"/>
    <w:rsid w:val="00054CC5"/>
    <w:rsid w:val="0006041F"/>
    <w:rsid w:val="000622B7"/>
    <w:rsid w:val="0006388B"/>
    <w:rsid w:val="0006445A"/>
    <w:rsid w:val="00065016"/>
    <w:rsid w:val="00074281"/>
    <w:rsid w:val="0007511F"/>
    <w:rsid w:val="00080478"/>
    <w:rsid w:val="0008083A"/>
    <w:rsid w:val="00081ED6"/>
    <w:rsid w:val="000840D3"/>
    <w:rsid w:val="00084AE0"/>
    <w:rsid w:val="00084F91"/>
    <w:rsid w:val="00085C97"/>
    <w:rsid w:val="00086D9D"/>
    <w:rsid w:val="0009227C"/>
    <w:rsid w:val="0009342B"/>
    <w:rsid w:val="00096F32"/>
    <w:rsid w:val="000A37DB"/>
    <w:rsid w:val="000A3D7F"/>
    <w:rsid w:val="000A66BA"/>
    <w:rsid w:val="000B0B78"/>
    <w:rsid w:val="000B2FBB"/>
    <w:rsid w:val="000B36D1"/>
    <w:rsid w:val="000B48DC"/>
    <w:rsid w:val="000B602E"/>
    <w:rsid w:val="000C10A7"/>
    <w:rsid w:val="000C2C37"/>
    <w:rsid w:val="000C5093"/>
    <w:rsid w:val="000D1F8D"/>
    <w:rsid w:val="000D3D3A"/>
    <w:rsid w:val="000D5EEA"/>
    <w:rsid w:val="000D6E03"/>
    <w:rsid w:val="000E0D4E"/>
    <w:rsid w:val="000E145E"/>
    <w:rsid w:val="000E4150"/>
    <w:rsid w:val="000E5DD9"/>
    <w:rsid w:val="000E7C4C"/>
    <w:rsid w:val="000F59DE"/>
    <w:rsid w:val="00101479"/>
    <w:rsid w:val="001027C4"/>
    <w:rsid w:val="0010467E"/>
    <w:rsid w:val="00106286"/>
    <w:rsid w:val="001068B2"/>
    <w:rsid w:val="00115360"/>
    <w:rsid w:val="0012089F"/>
    <w:rsid w:val="00126037"/>
    <w:rsid w:val="00130656"/>
    <w:rsid w:val="0013264D"/>
    <w:rsid w:val="00132B91"/>
    <w:rsid w:val="00132BA7"/>
    <w:rsid w:val="00132E41"/>
    <w:rsid w:val="00132E7E"/>
    <w:rsid w:val="0013399D"/>
    <w:rsid w:val="00134605"/>
    <w:rsid w:val="00134AB1"/>
    <w:rsid w:val="00135F4C"/>
    <w:rsid w:val="00136492"/>
    <w:rsid w:val="00145604"/>
    <w:rsid w:val="00145F00"/>
    <w:rsid w:val="00151F3E"/>
    <w:rsid w:val="001579E6"/>
    <w:rsid w:val="00157AAC"/>
    <w:rsid w:val="001627E7"/>
    <w:rsid w:val="00162A23"/>
    <w:rsid w:val="00164037"/>
    <w:rsid w:val="00166846"/>
    <w:rsid w:val="001761A0"/>
    <w:rsid w:val="0017648D"/>
    <w:rsid w:val="00177DD1"/>
    <w:rsid w:val="00181338"/>
    <w:rsid w:val="0018383E"/>
    <w:rsid w:val="00184F8C"/>
    <w:rsid w:val="00185159"/>
    <w:rsid w:val="00185CCB"/>
    <w:rsid w:val="001877E2"/>
    <w:rsid w:val="00187FCA"/>
    <w:rsid w:val="00196536"/>
    <w:rsid w:val="00196B7E"/>
    <w:rsid w:val="0019701C"/>
    <w:rsid w:val="001A0D6C"/>
    <w:rsid w:val="001A200E"/>
    <w:rsid w:val="001A23E3"/>
    <w:rsid w:val="001A3937"/>
    <w:rsid w:val="001B145B"/>
    <w:rsid w:val="001B2C49"/>
    <w:rsid w:val="001B5471"/>
    <w:rsid w:val="001B5E8D"/>
    <w:rsid w:val="001B638C"/>
    <w:rsid w:val="001B7B72"/>
    <w:rsid w:val="001C08FC"/>
    <w:rsid w:val="001C16BD"/>
    <w:rsid w:val="001C319C"/>
    <w:rsid w:val="001C3DDB"/>
    <w:rsid w:val="001D299E"/>
    <w:rsid w:val="001D4211"/>
    <w:rsid w:val="001D671D"/>
    <w:rsid w:val="001D6A06"/>
    <w:rsid w:val="001E1CDC"/>
    <w:rsid w:val="001E2444"/>
    <w:rsid w:val="001E5177"/>
    <w:rsid w:val="001E5666"/>
    <w:rsid w:val="001E72E6"/>
    <w:rsid w:val="001F11BE"/>
    <w:rsid w:val="001F2956"/>
    <w:rsid w:val="001F6014"/>
    <w:rsid w:val="001F60AB"/>
    <w:rsid w:val="00202EFD"/>
    <w:rsid w:val="0020459C"/>
    <w:rsid w:val="00206BDD"/>
    <w:rsid w:val="00207980"/>
    <w:rsid w:val="00207ACB"/>
    <w:rsid w:val="002116D8"/>
    <w:rsid w:val="00214133"/>
    <w:rsid w:val="00216FF0"/>
    <w:rsid w:val="00220941"/>
    <w:rsid w:val="002330E6"/>
    <w:rsid w:val="00233F07"/>
    <w:rsid w:val="002349CD"/>
    <w:rsid w:val="00234D94"/>
    <w:rsid w:val="00237404"/>
    <w:rsid w:val="0024689C"/>
    <w:rsid w:val="0024703F"/>
    <w:rsid w:val="002518BE"/>
    <w:rsid w:val="0025280B"/>
    <w:rsid w:val="00252E55"/>
    <w:rsid w:val="00253273"/>
    <w:rsid w:val="00261053"/>
    <w:rsid w:val="002622AF"/>
    <w:rsid w:val="002636FF"/>
    <w:rsid w:val="00264DC2"/>
    <w:rsid w:val="00276AEE"/>
    <w:rsid w:val="002815FC"/>
    <w:rsid w:val="00282C5E"/>
    <w:rsid w:val="002854C2"/>
    <w:rsid w:val="00290F0A"/>
    <w:rsid w:val="00291C4C"/>
    <w:rsid w:val="00293133"/>
    <w:rsid w:val="00294694"/>
    <w:rsid w:val="00295E36"/>
    <w:rsid w:val="002974B2"/>
    <w:rsid w:val="00297973"/>
    <w:rsid w:val="002A02A8"/>
    <w:rsid w:val="002A09DB"/>
    <w:rsid w:val="002A3A69"/>
    <w:rsid w:val="002A724E"/>
    <w:rsid w:val="002B0953"/>
    <w:rsid w:val="002B1FA6"/>
    <w:rsid w:val="002B203C"/>
    <w:rsid w:val="002B21BF"/>
    <w:rsid w:val="002B3B51"/>
    <w:rsid w:val="002B5BA8"/>
    <w:rsid w:val="002B7CD0"/>
    <w:rsid w:val="002C0566"/>
    <w:rsid w:val="002D22EC"/>
    <w:rsid w:val="002D643D"/>
    <w:rsid w:val="002D668C"/>
    <w:rsid w:val="002E1674"/>
    <w:rsid w:val="002E2798"/>
    <w:rsid w:val="002F25A0"/>
    <w:rsid w:val="002F464C"/>
    <w:rsid w:val="002F6851"/>
    <w:rsid w:val="002F7BA6"/>
    <w:rsid w:val="002F7EC7"/>
    <w:rsid w:val="00304976"/>
    <w:rsid w:val="003056B1"/>
    <w:rsid w:val="00306495"/>
    <w:rsid w:val="00307568"/>
    <w:rsid w:val="00307E0E"/>
    <w:rsid w:val="00310C53"/>
    <w:rsid w:val="00313E30"/>
    <w:rsid w:val="00314E5A"/>
    <w:rsid w:val="003152F2"/>
    <w:rsid w:val="0031551E"/>
    <w:rsid w:val="00321872"/>
    <w:rsid w:val="00324F65"/>
    <w:rsid w:val="003278AD"/>
    <w:rsid w:val="0033234D"/>
    <w:rsid w:val="0033246A"/>
    <w:rsid w:val="00333EB6"/>
    <w:rsid w:val="003365A7"/>
    <w:rsid w:val="00337F2F"/>
    <w:rsid w:val="00343590"/>
    <w:rsid w:val="003445AE"/>
    <w:rsid w:val="0034756E"/>
    <w:rsid w:val="00350432"/>
    <w:rsid w:val="003506EB"/>
    <w:rsid w:val="00351714"/>
    <w:rsid w:val="00354025"/>
    <w:rsid w:val="00356735"/>
    <w:rsid w:val="00357A58"/>
    <w:rsid w:val="00374679"/>
    <w:rsid w:val="00375CAF"/>
    <w:rsid w:val="003778AC"/>
    <w:rsid w:val="00380992"/>
    <w:rsid w:val="0038408B"/>
    <w:rsid w:val="00385D9B"/>
    <w:rsid w:val="00390BA9"/>
    <w:rsid w:val="00391A6C"/>
    <w:rsid w:val="00395626"/>
    <w:rsid w:val="003A64F4"/>
    <w:rsid w:val="003B6D40"/>
    <w:rsid w:val="003C1488"/>
    <w:rsid w:val="003C1B0F"/>
    <w:rsid w:val="003D0CD5"/>
    <w:rsid w:val="003D4BFE"/>
    <w:rsid w:val="003E2B6E"/>
    <w:rsid w:val="003E375E"/>
    <w:rsid w:val="003E3C84"/>
    <w:rsid w:val="003E51D1"/>
    <w:rsid w:val="003F0526"/>
    <w:rsid w:val="003F11BE"/>
    <w:rsid w:val="003F4A26"/>
    <w:rsid w:val="003F6BC1"/>
    <w:rsid w:val="004002C6"/>
    <w:rsid w:val="00400A25"/>
    <w:rsid w:val="004037BF"/>
    <w:rsid w:val="00411224"/>
    <w:rsid w:val="00413311"/>
    <w:rsid w:val="00413AD0"/>
    <w:rsid w:val="004146B1"/>
    <w:rsid w:val="00414DD2"/>
    <w:rsid w:val="0041542C"/>
    <w:rsid w:val="00424875"/>
    <w:rsid w:val="00424F43"/>
    <w:rsid w:val="00426477"/>
    <w:rsid w:val="00427B3D"/>
    <w:rsid w:val="00430ACD"/>
    <w:rsid w:val="00430D2E"/>
    <w:rsid w:val="00433E13"/>
    <w:rsid w:val="00437659"/>
    <w:rsid w:val="00442D2A"/>
    <w:rsid w:val="00444D04"/>
    <w:rsid w:val="00446065"/>
    <w:rsid w:val="0044706D"/>
    <w:rsid w:val="00451403"/>
    <w:rsid w:val="00460699"/>
    <w:rsid w:val="004606F6"/>
    <w:rsid w:val="004627D7"/>
    <w:rsid w:val="004628EE"/>
    <w:rsid w:val="00465DC7"/>
    <w:rsid w:val="00471779"/>
    <w:rsid w:val="004727F2"/>
    <w:rsid w:val="00473A9C"/>
    <w:rsid w:val="00475F03"/>
    <w:rsid w:val="00476437"/>
    <w:rsid w:val="00476B58"/>
    <w:rsid w:val="00480353"/>
    <w:rsid w:val="004819D1"/>
    <w:rsid w:val="00487AC2"/>
    <w:rsid w:val="004907F3"/>
    <w:rsid w:val="00490AA6"/>
    <w:rsid w:val="0049372C"/>
    <w:rsid w:val="00493C82"/>
    <w:rsid w:val="00495720"/>
    <w:rsid w:val="004A10F2"/>
    <w:rsid w:val="004A26FB"/>
    <w:rsid w:val="004A5610"/>
    <w:rsid w:val="004A5DD3"/>
    <w:rsid w:val="004A770A"/>
    <w:rsid w:val="004B1D1A"/>
    <w:rsid w:val="004B5344"/>
    <w:rsid w:val="004B72E3"/>
    <w:rsid w:val="004C28C6"/>
    <w:rsid w:val="004C39A0"/>
    <w:rsid w:val="004C7777"/>
    <w:rsid w:val="004D0559"/>
    <w:rsid w:val="004D1682"/>
    <w:rsid w:val="004D255C"/>
    <w:rsid w:val="004D5F2A"/>
    <w:rsid w:val="004D727C"/>
    <w:rsid w:val="004E7DCF"/>
    <w:rsid w:val="004F0B6D"/>
    <w:rsid w:val="004F2F1E"/>
    <w:rsid w:val="004F386D"/>
    <w:rsid w:val="004F3BBA"/>
    <w:rsid w:val="004F5ED0"/>
    <w:rsid w:val="004F69AD"/>
    <w:rsid w:val="005019C8"/>
    <w:rsid w:val="005070E0"/>
    <w:rsid w:val="00510A26"/>
    <w:rsid w:val="00510FE2"/>
    <w:rsid w:val="00511E65"/>
    <w:rsid w:val="00512C4B"/>
    <w:rsid w:val="00515311"/>
    <w:rsid w:val="00516CA6"/>
    <w:rsid w:val="00522754"/>
    <w:rsid w:val="00524E7D"/>
    <w:rsid w:val="00525C0E"/>
    <w:rsid w:val="00532FD2"/>
    <w:rsid w:val="0054302A"/>
    <w:rsid w:val="00550B68"/>
    <w:rsid w:val="00554C62"/>
    <w:rsid w:val="005555F2"/>
    <w:rsid w:val="00555A28"/>
    <w:rsid w:val="00555D29"/>
    <w:rsid w:val="00556922"/>
    <w:rsid w:val="00560C01"/>
    <w:rsid w:val="0056210A"/>
    <w:rsid w:val="00562550"/>
    <w:rsid w:val="0056325D"/>
    <w:rsid w:val="005640FE"/>
    <w:rsid w:val="00564E83"/>
    <w:rsid w:val="00565125"/>
    <w:rsid w:val="00565E1C"/>
    <w:rsid w:val="00575BEA"/>
    <w:rsid w:val="005764B3"/>
    <w:rsid w:val="00576B7A"/>
    <w:rsid w:val="00581316"/>
    <w:rsid w:val="00581BDB"/>
    <w:rsid w:val="00585165"/>
    <w:rsid w:val="00585E85"/>
    <w:rsid w:val="00592495"/>
    <w:rsid w:val="005979B4"/>
    <w:rsid w:val="005A1BAB"/>
    <w:rsid w:val="005A2863"/>
    <w:rsid w:val="005A308D"/>
    <w:rsid w:val="005B5F9C"/>
    <w:rsid w:val="005B7735"/>
    <w:rsid w:val="005B799B"/>
    <w:rsid w:val="005C15C5"/>
    <w:rsid w:val="005C40A4"/>
    <w:rsid w:val="005C7992"/>
    <w:rsid w:val="005D1C80"/>
    <w:rsid w:val="005D675F"/>
    <w:rsid w:val="005F501D"/>
    <w:rsid w:val="005F6148"/>
    <w:rsid w:val="005F7030"/>
    <w:rsid w:val="005F7E75"/>
    <w:rsid w:val="006002C3"/>
    <w:rsid w:val="00601E39"/>
    <w:rsid w:val="0060268E"/>
    <w:rsid w:val="00605C1D"/>
    <w:rsid w:val="0060665F"/>
    <w:rsid w:val="00613158"/>
    <w:rsid w:val="0061337F"/>
    <w:rsid w:val="00616652"/>
    <w:rsid w:val="006179C0"/>
    <w:rsid w:val="0062008C"/>
    <w:rsid w:val="00621805"/>
    <w:rsid w:val="0062221E"/>
    <w:rsid w:val="0062438B"/>
    <w:rsid w:val="00627036"/>
    <w:rsid w:val="006272FC"/>
    <w:rsid w:val="006302B2"/>
    <w:rsid w:val="00630B4F"/>
    <w:rsid w:val="00633B9B"/>
    <w:rsid w:val="00633C1C"/>
    <w:rsid w:val="006354A4"/>
    <w:rsid w:val="006438C9"/>
    <w:rsid w:val="00643907"/>
    <w:rsid w:val="0064555B"/>
    <w:rsid w:val="00647311"/>
    <w:rsid w:val="006541AC"/>
    <w:rsid w:val="006573A6"/>
    <w:rsid w:val="00661073"/>
    <w:rsid w:val="00662447"/>
    <w:rsid w:val="006669FC"/>
    <w:rsid w:val="00667D5C"/>
    <w:rsid w:val="00670571"/>
    <w:rsid w:val="00670809"/>
    <w:rsid w:val="006747E0"/>
    <w:rsid w:val="00674B00"/>
    <w:rsid w:val="00682F83"/>
    <w:rsid w:val="00683E1F"/>
    <w:rsid w:val="006845E9"/>
    <w:rsid w:val="0068515B"/>
    <w:rsid w:val="006857B0"/>
    <w:rsid w:val="00685D8A"/>
    <w:rsid w:val="00692E98"/>
    <w:rsid w:val="0069387D"/>
    <w:rsid w:val="00693B9E"/>
    <w:rsid w:val="00695587"/>
    <w:rsid w:val="006959FB"/>
    <w:rsid w:val="006961FB"/>
    <w:rsid w:val="006A0F19"/>
    <w:rsid w:val="006A4562"/>
    <w:rsid w:val="006A4721"/>
    <w:rsid w:val="006B0173"/>
    <w:rsid w:val="006B25D7"/>
    <w:rsid w:val="006B34A4"/>
    <w:rsid w:val="006B649C"/>
    <w:rsid w:val="006B7C85"/>
    <w:rsid w:val="006C0539"/>
    <w:rsid w:val="006C16DB"/>
    <w:rsid w:val="006C38C7"/>
    <w:rsid w:val="006C3FE2"/>
    <w:rsid w:val="006D1B72"/>
    <w:rsid w:val="006D3030"/>
    <w:rsid w:val="006D73A4"/>
    <w:rsid w:val="006D74AE"/>
    <w:rsid w:val="006E040D"/>
    <w:rsid w:val="006E0695"/>
    <w:rsid w:val="006E0AB4"/>
    <w:rsid w:val="006F0215"/>
    <w:rsid w:val="006F20D9"/>
    <w:rsid w:val="006F288A"/>
    <w:rsid w:val="006F512C"/>
    <w:rsid w:val="00702134"/>
    <w:rsid w:val="0071052B"/>
    <w:rsid w:val="007106B7"/>
    <w:rsid w:val="007133C4"/>
    <w:rsid w:val="007202F2"/>
    <w:rsid w:val="0072339C"/>
    <w:rsid w:val="00724B81"/>
    <w:rsid w:val="00727CBA"/>
    <w:rsid w:val="007324C8"/>
    <w:rsid w:val="00734399"/>
    <w:rsid w:val="007400AE"/>
    <w:rsid w:val="00746C32"/>
    <w:rsid w:val="00751125"/>
    <w:rsid w:val="007519DB"/>
    <w:rsid w:val="00753CFF"/>
    <w:rsid w:val="00754CA8"/>
    <w:rsid w:val="00756F52"/>
    <w:rsid w:val="00762C50"/>
    <w:rsid w:val="007637CF"/>
    <w:rsid w:val="00764960"/>
    <w:rsid w:val="00765F8D"/>
    <w:rsid w:val="00767599"/>
    <w:rsid w:val="00771961"/>
    <w:rsid w:val="00771968"/>
    <w:rsid w:val="0077565C"/>
    <w:rsid w:val="00775DE5"/>
    <w:rsid w:val="00776359"/>
    <w:rsid w:val="00776C72"/>
    <w:rsid w:val="00785490"/>
    <w:rsid w:val="0079285F"/>
    <w:rsid w:val="00794396"/>
    <w:rsid w:val="00796759"/>
    <w:rsid w:val="00797249"/>
    <w:rsid w:val="007972F8"/>
    <w:rsid w:val="007A70F0"/>
    <w:rsid w:val="007B044B"/>
    <w:rsid w:val="007B120C"/>
    <w:rsid w:val="007B1A79"/>
    <w:rsid w:val="007B31A8"/>
    <w:rsid w:val="007B41C6"/>
    <w:rsid w:val="007B43D5"/>
    <w:rsid w:val="007B4D9C"/>
    <w:rsid w:val="007B68DC"/>
    <w:rsid w:val="007C0381"/>
    <w:rsid w:val="007C13E5"/>
    <w:rsid w:val="007C2646"/>
    <w:rsid w:val="007C5C71"/>
    <w:rsid w:val="007C5D45"/>
    <w:rsid w:val="007D330D"/>
    <w:rsid w:val="007D505D"/>
    <w:rsid w:val="007D51D8"/>
    <w:rsid w:val="007E3993"/>
    <w:rsid w:val="007F1861"/>
    <w:rsid w:val="007F34AB"/>
    <w:rsid w:val="007F73BA"/>
    <w:rsid w:val="007F774F"/>
    <w:rsid w:val="007F78F2"/>
    <w:rsid w:val="0080181D"/>
    <w:rsid w:val="00802734"/>
    <w:rsid w:val="00802B3D"/>
    <w:rsid w:val="0080390E"/>
    <w:rsid w:val="008056AA"/>
    <w:rsid w:val="0081001C"/>
    <w:rsid w:val="0081107C"/>
    <w:rsid w:val="00811CF2"/>
    <w:rsid w:val="0081229A"/>
    <w:rsid w:val="00812323"/>
    <w:rsid w:val="008128E8"/>
    <w:rsid w:val="00822971"/>
    <w:rsid w:val="00826651"/>
    <w:rsid w:val="00830DD9"/>
    <w:rsid w:val="008415C1"/>
    <w:rsid w:val="0084211C"/>
    <w:rsid w:val="00842763"/>
    <w:rsid w:val="00843F13"/>
    <w:rsid w:val="008444EF"/>
    <w:rsid w:val="00845407"/>
    <w:rsid w:val="0085029E"/>
    <w:rsid w:val="00851C2C"/>
    <w:rsid w:val="00854F67"/>
    <w:rsid w:val="0086215E"/>
    <w:rsid w:val="00862D00"/>
    <w:rsid w:val="00865B87"/>
    <w:rsid w:val="00866BA7"/>
    <w:rsid w:val="0087363C"/>
    <w:rsid w:val="0087550B"/>
    <w:rsid w:val="00876394"/>
    <w:rsid w:val="00880925"/>
    <w:rsid w:val="00886DCF"/>
    <w:rsid w:val="0088703F"/>
    <w:rsid w:val="008A1FB3"/>
    <w:rsid w:val="008A24A3"/>
    <w:rsid w:val="008A3776"/>
    <w:rsid w:val="008B21AE"/>
    <w:rsid w:val="008B21D3"/>
    <w:rsid w:val="008C3943"/>
    <w:rsid w:val="008C4543"/>
    <w:rsid w:val="008C5108"/>
    <w:rsid w:val="008C5ACF"/>
    <w:rsid w:val="008C6DDC"/>
    <w:rsid w:val="008D262A"/>
    <w:rsid w:val="008E1EBB"/>
    <w:rsid w:val="008E5467"/>
    <w:rsid w:val="008F192B"/>
    <w:rsid w:val="008F2493"/>
    <w:rsid w:val="008F57BE"/>
    <w:rsid w:val="008F57C2"/>
    <w:rsid w:val="008F7911"/>
    <w:rsid w:val="009020B9"/>
    <w:rsid w:val="009054DA"/>
    <w:rsid w:val="00907914"/>
    <w:rsid w:val="0091513C"/>
    <w:rsid w:val="00923518"/>
    <w:rsid w:val="009278A7"/>
    <w:rsid w:val="009344A9"/>
    <w:rsid w:val="00936ED1"/>
    <w:rsid w:val="00940193"/>
    <w:rsid w:val="00940309"/>
    <w:rsid w:val="00940647"/>
    <w:rsid w:val="00941078"/>
    <w:rsid w:val="00942E12"/>
    <w:rsid w:val="00943B6E"/>
    <w:rsid w:val="00944E1C"/>
    <w:rsid w:val="00950121"/>
    <w:rsid w:val="00952950"/>
    <w:rsid w:val="00960689"/>
    <w:rsid w:val="0096121F"/>
    <w:rsid w:val="009644F7"/>
    <w:rsid w:val="00965F4E"/>
    <w:rsid w:val="00973FB5"/>
    <w:rsid w:val="00974369"/>
    <w:rsid w:val="00977D44"/>
    <w:rsid w:val="00982919"/>
    <w:rsid w:val="0098343D"/>
    <w:rsid w:val="00984598"/>
    <w:rsid w:val="009855B2"/>
    <w:rsid w:val="009874B5"/>
    <w:rsid w:val="009906BC"/>
    <w:rsid w:val="0099138B"/>
    <w:rsid w:val="00992A08"/>
    <w:rsid w:val="00995E91"/>
    <w:rsid w:val="009A5D68"/>
    <w:rsid w:val="009B0A23"/>
    <w:rsid w:val="009B34DD"/>
    <w:rsid w:val="009C5700"/>
    <w:rsid w:val="009C6817"/>
    <w:rsid w:val="009D2401"/>
    <w:rsid w:val="009D2A9E"/>
    <w:rsid w:val="009D31B3"/>
    <w:rsid w:val="009D4455"/>
    <w:rsid w:val="009D4C79"/>
    <w:rsid w:val="009D6262"/>
    <w:rsid w:val="009D7C06"/>
    <w:rsid w:val="009E2E70"/>
    <w:rsid w:val="009E30A0"/>
    <w:rsid w:val="009E4658"/>
    <w:rsid w:val="009E4EC0"/>
    <w:rsid w:val="009E6060"/>
    <w:rsid w:val="009E75BF"/>
    <w:rsid w:val="009F224A"/>
    <w:rsid w:val="009F2AF3"/>
    <w:rsid w:val="009F5042"/>
    <w:rsid w:val="009F6AF4"/>
    <w:rsid w:val="009F7B7E"/>
    <w:rsid w:val="00A00938"/>
    <w:rsid w:val="00A01409"/>
    <w:rsid w:val="00A01898"/>
    <w:rsid w:val="00A04F74"/>
    <w:rsid w:val="00A10C21"/>
    <w:rsid w:val="00A12CAC"/>
    <w:rsid w:val="00A176EA"/>
    <w:rsid w:val="00A2105A"/>
    <w:rsid w:val="00A22B1E"/>
    <w:rsid w:val="00A22E1F"/>
    <w:rsid w:val="00A23620"/>
    <w:rsid w:val="00A23EED"/>
    <w:rsid w:val="00A2700F"/>
    <w:rsid w:val="00A30D5B"/>
    <w:rsid w:val="00A320A1"/>
    <w:rsid w:val="00A35C56"/>
    <w:rsid w:val="00A37D8F"/>
    <w:rsid w:val="00A37FEE"/>
    <w:rsid w:val="00A40575"/>
    <w:rsid w:val="00A41DAA"/>
    <w:rsid w:val="00A43C26"/>
    <w:rsid w:val="00A43EAF"/>
    <w:rsid w:val="00A457A0"/>
    <w:rsid w:val="00A50D82"/>
    <w:rsid w:val="00A517E5"/>
    <w:rsid w:val="00A51CA2"/>
    <w:rsid w:val="00A57847"/>
    <w:rsid w:val="00A62DFB"/>
    <w:rsid w:val="00A765A0"/>
    <w:rsid w:val="00A767E9"/>
    <w:rsid w:val="00A774E4"/>
    <w:rsid w:val="00A80FDA"/>
    <w:rsid w:val="00A81C26"/>
    <w:rsid w:val="00A837F1"/>
    <w:rsid w:val="00A85FCB"/>
    <w:rsid w:val="00A932FA"/>
    <w:rsid w:val="00A93A07"/>
    <w:rsid w:val="00A94715"/>
    <w:rsid w:val="00AA42BF"/>
    <w:rsid w:val="00AA49CC"/>
    <w:rsid w:val="00AA54A1"/>
    <w:rsid w:val="00AA5AFF"/>
    <w:rsid w:val="00AA6260"/>
    <w:rsid w:val="00AA6877"/>
    <w:rsid w:val="00AA76F0"/>
    <w:rsid w:val="00AB2CEE"/>
    <w:rsid w:val="00AB52D6"/>
    <w:rsid w:val="00AB70D8"/>
    <w:rsid w:val="00AB7FAE"/>
    <w:rsid w:val="00AC0005"/>
    <w:rsid w:val="00AC0229"/>
    <w:rsid w:val="00AC08E0"/>
    <w:rsid w:val="00AC1B15"/>
    <w:rsid w:val="00AC21E7"/>
    <w:rsid w:val="00AC3186"/>
    <w:rsid w:val="00AC40C8"/>
    <w:rsid w:val="00AC4F91"/>
    <w:rsid w:val="00AC6313"/>
    <w:rsid w:val="00AD5F51"/>
    <w:rsid w:val="00AE49EF"/>
    <w:rsid w:val="00AE4EB4"/>
    <w:rsid w:val="00AE5806"/>
    <w:rsid w:val="00AE763C"/>
    <w:rsid w:val="00AF0542"/>
    <w:rsid w:val="00AF0992"/>
    <w:rsid w:val="00AF6499"/>
    <w:rsid w:val="00AF6D12"/>
    <w:rsid w:val="00AF6FC3"/>
    <w:rsid w:val="00B0124D"/>
    <w:rsid w:val="00B014E1"/>
    <w:rsid w:val="00B05AC8"/>
    <w:rsid w:val="00B05D3F"/>
    <w:rsid w:val="00B129C3"/>
    <w:rsid w:val="00B149D9"/>
    <w:rsid w:val="00B14BF3"/>
    <w:rsid w:val="00B17217"/>
    <w:rsid w:val="00B20814"/>
    <w:rsid w:val="00B23C92"/>
    <w:rsid w:val="00B24799"/>
    <w:rsid w:val="00B24E83"/>
    <w:rsid w:val="00B254DB"/>
    <w:rsid w:val="00B300F4"/>
    <w:rsid w:val="00B32037"/>
    <w:rsid w:val="00B329EA"/>
    <w:rsid w:val="00B32BBA"/>
    <w:rsid w:val="00B347FE"/>
    <w:rsid w:val="00B41803"/>
    <w:rsid w:val="00B422CB"/>
    <w:rsid w:val="00B4272D"/>
    <w:rsid w:val="00B427A1"/>
    <w:rsid w:val="00B44A3C"/>
    <w:rsid w:val="00B458FD"/>
    <w:rsid w:val="00B45F82"/>
    <w:rsid w:val="00B476CA"/>
    <w:rsid w:val="00B50999"/>
    <w:rsid w:val="00B51C5D"/>
    <w:rsid w:val="00B54946"/>
    <w:rsid w:val="00B56E10"/>
    <w:rsid w:val="00B6251C"/>
    <w:rsid w:val="00B633DF"/>
    <w:rsid w:val="00B64E4A"/>
    <w:rsid w:val="00B70C0A"/>
    <w:rsid w:val="00B70E07"/>
    <w:rsid w:val="00B70F22"/>
    <w:rsid w:val="00B71E54"/>
    <w:rsid w:val="00B72599"/>
    <w:rsid w:val="00B73D56"/>
    <w:rsid w:val="00B75DF2"/>
    <w:rsid w:val="00B7743D"/>
    <w:rsid w:val="00B83E51"/>
    <w:rsid w:val="00B85166"/>
    <w:rsid w:val="00B8552D"/>
    <w:rsid w:val="00B85754"/>
    <w:rsid w:val="00B90A45"/>
    <w:rsid w:val="00B91B24"/>
    <w:rsid w:val="00BA030A"/>
    <w:rsid w:val="00BA0B35"/>
    <w:rsid w:val="00BA2221"/>
    <w:rsid w:val="00BA7550"/>
    <w:rsid w:val="00BB34B7"/>
    <w:rsid w:val="00BB3C34"/>
    <w:rsid w:val="00BB511B"/>
    <w:rsid w:val="00BB5E85"/>
    <w:rsid w:val="00BB6AC9"/>
    <w:rsid w:val="00BB7FB2"/>
    <w:rsid w:val="00BC096D"/>
    <w:rsid w:val="00BC0FBD"/>
    <w:rsid w:val="00BC2408"/>
    <w:rsid w:val="00BC2746"/>
    <w:rsid w:val="00BC3C64"/>
    <w:rsid w:val="00BC41FE"/>
    <w:rsid w:val="00BC4394"/>
    <w:rsid w:val="00BC64A2"/>
    <w:rsid w:val="00BE11A6"/>
    <w:rsid w:val="00BE1F14"/>
    <w:rsid w:val="00BE37E5"/>
    <w:rsid w:val="00BE4283"/>
    <w:rsid w:val="00BE4D78"/>
    <w:rsid w:val="00BF7691"/>
    <w:rsid w:val="00C00CA6"/>
    <w:rsid w:val="00C045F7"/>
    <w:rsid w:val="00C05866"/>
    <w:rsid w:val="00C10BA9"/>
    <w:rsid w:val="00C136CE"/>
    <w:rsid w:val="00C15095"/>
    <w:rsid w:val="00C169B6"/>
    <w:rsid w:val="00C17C10"/>
    <w:rsid w:val="00C202C7"/>
    <w:rsid w:val="00C225EF"/>
    <w:rsid w:val="00C26125"/>
    <w:rsid w:val="00C35414"/>
    <w:rsid w:val="00C4410C"/>
    <w:rsid w:val="00C4451A"/>
    <w:rsid w:val="00C557F9"/>
    <w:rsid w:val="00C60741"/>
    <w:rsid w:val="00C63265"/>
    <w:rsid w:val="00C6610A"/>
    <w:rsid w:val="00C745C6"/>
    <w:rsid w:val="00C75649"/>
    <w:rsid w:val="00C75680"/>
    <w:rsid w:val="00C75920"/>
    <w:rsid w:val="00C76018"/>
    <w:rsid w:val="00C763D6"/>
    <w:rsid w:val="00C76422"/>
    <w:rsid w:val="00C80848"/>
    <w:rsid w:val="00C80FD8"/>
    <w:rsid w:val="00C83873"/>
    <w:rsid w:val="00C85F0B"/>
    <w:rsid w:val="00C860B4"/>
    <w:rsid w:val="00C8751C"/>
    <w:rsid w:val="00C912B0"/>
    <w:rsid w:val="00C93E77"/>
    <w:rsid w:val="00C94B64"/>
    <w:rsid w:val="00C9560C"/>
    <w:rsid w:val="00C95CA9"/>
    <w:rsid w:val="00C9790D"/>
    <w:rsid w:val="00CA14A0"/>
    <w:rsid w:val="00CA14E5"/>
    <w:rsid w:val="00CA1BDB"/>
    <w:rsid w:val="00CA26F7"/>
    <w:rsid w:val="00CA49DE"/>
    <w:rsid w:val="00CA4F91"/>
    <w:rsid w:val="00CA57F6"/>
    <w:rsid w:val="00CB2277"/>
    <w:rsid w:val="00CB31DF"/>
    <w:rsid w:val="00CB3FB9"/>
    <w:rsid w:val="00CB5966"/>
    <w:rsid w:val="00CC6E0E"/>
    <w:rsid w:val="00CD2236"/>
    <w:rsid w:val="00CD48E2"/>
    <w:rsid w:val="00CD505C"/>
    <w:rsid w:val="00CD7936"/>
    <w:rsid w:val="00CE003C"/>
    <w:rsid w:val="00CE1584"/>
    <w:rsid w:val="00CE4467"/>
    <w:rsid w:val="00CE5C81"/>
    <w:rsid w:val="00CE6322"/>
    <w:rsid w:val="00CF0A66"/>
    <w:rsid w:val="00CF3961"/>
    <w:rsid w:val="00CF4562"/>
    <w:rsid w:val="00CF7E6C"/>
    <w:rsid w:val="00D00D64"/>
    <w:rsid w:val="00D010C6"/>
    <w:rsid w:val="00D060BE"/>
    <w:rsid w:val="00D071B5"/>
    <w:rsid w:val="00D07318"/>
    <w:rsid w:val="00D07F50"/>
    <w:rsid w:val="00D13E70"/>
    <w:rsid w:val="00D15791"/>
    <w:rsid w:val="00D21F5F"/>
    <w:rsid w:val="00D23568"/>
    <w:rsid w:val="00D23959"/>
    <w:rsid w:val="00D25606"/>
    <w:rsid w:val="00D32045"/>
    <w:rsid w:val="00D32DEF"/>
    <w:rsid w:val="00D35EE8"/>
    <w:rsid w:val="00D37EBB"/>
    <w:rsid w:val="00D415B3"/>
    <w:rsid w:val="00D44384"/>
    <w:rsid w:val="00D53303"/>
    <w:rsid w:val="00D5489B"/>
    <w:rsid w:val="00D565FE"/>
    <w:rsid w:val="00D627C6"/>
    <w:rsid w:val="00D633A9"/>
    <w:rsid w:val="00D66C33"/>
    <w:rsid w:val="00D67D06"/>
    <w:rsid w:val="00D71F13"/>
    <w:rsid w:val="00D82E7F"/>
    <w:rsid w:val="00D8415D"/>
    <w:rsid w:val="00DA1DCE"/>
    <w:rsid w:val="00DA454D"/>
    <w:rsid w:val="00DA5110"/>
    <w:rsid w:val="00DA570F"/>
    <w:rsid w:val="00DA73C8"/>
    <w:rsid w:val="00DB0B92"/>
    <w:rsid w:val="00DB2926"/>
    <w:rsid w:val="00DB3F44"/>
    <w:rsid w:val="00DB40CF"/>
    <w:rsid w:val="00DB4E90"/>
    <w:rsid w:val="00DB64E9"/>
    <w:rsid w:val="00DC2F6C"/>
    <w:rsid w:val="00DC4B57"/>
    <w:rsid w:val="00DD5DCF"/>
    <w:rsid w:val="00DD6496"/>
    <w:rsid w:val="00DD6B81"/>
    <w:rsid w:val="00DE00A5"/>
    <w:rsid w:val="00DE06C1"/>
    <w:rsid w:val="00DE4AA7"/>
    <w:rsid w:val="00DF5483"/>
    <w:rsid w:val="00DF5BA0"/>
    <w:rsid w:val="00E00E45"/>
    <w:rsid w:val="00E03ABA"/>
    <w:rsid w:val="00E058DA"/>
    <w:rsid w:val="00E06E8B"/>
    <w:rsid w:val="00E109D9"/>
    <w:rsid w:val="00E10DCE"/>
    <w:rsid w:val="00E124CD"/>
    <w:rsid w:val="00E140F0"/>
    <w:rsid w:val="00E14787"/>
    <w:rsid w:val="00E14B6B"/>
    <w:rsid w:val="00E160D4"/>
    <w:rsid w:val="00E16791"/>
    <w:rsid w:val="00E16E1E"/>
    <w:rsid w:val="00E2338D"/>
    <w:rsid w:val="00E25E4F"/>
    <w:rsid w:val="00E325E3"/>
    <w:rsid w:val="00E33A42"/>
    <w:rsid w:val="00E33C93"/>
    <w:rsid w:val="00E340CD"/>
    <w:rsid w:val="00E34324"/>
    <w:rsid w:val="00E34BA9"/>
    <w:rsid w:val="00E37071"/>
    <w:rsid w:val="00E40075"/>
    <w:rsid w:val="00E413FD"/>
    <w:rsid w:val="00E42D6C"/>
    <w:rsid w:val="00E4741B"/>
    <w:rsid w:val="00E4753A"/>
    <w:rsid w:val="00E53CB9"/>
    <w:rsid w:val="00E54689"/>
    <w:rsid w:val="00E5669B"/>
    <w:rsid w:val="00E56DE0"/>
    <w:rsid w:val="00E645E1"/>
    <w:rsid w:val="00E67364"/>
    <w:rsid w:val="00E701E8"/>
    <w:rsid w:val="00E72B82"/>
    <w:rsid w:val="00E74A9E"/>
    <w:rsid w:val="00E755D9"/>
    <w:rsid w:val="00E829A4"/>
    <w:rsid w:val="00E87AF3"/>
    <w:rsid w:val="00E903CA"/>
    <w:rsid w:val="00E939B2"/>
    <w:rsid w:val="00EA0E8A"/>
    <w:rsid w:val="00EA157E"/>
    <w:rsid w:val="00EA4479"/>
    <w:rsid w:val="00EB0A1E"/>
    <w:rsid w:val="00EB18FF"/>
    <w:rsid w:val="00EB234F"/>
    <w:rsid w:val="00EB309D"/>
    <w:rsid w:val="00EB3262"/>
    <w:rsid w:val="00EB424F"/>
    <w:rsid w:val="00EB540E"/>
    <w:rsid w:val="00EB5873"/>
    <w:rsid w:val="00EB6110"/>
    <w:rsid w:val="00EB7729"/>
    <w:rsid w:val="00EC0227"/>
    <w:rsid w:val="00EC0CD5"/>
    <w:rsid w:val="00EC50F0"/>
    <w:rsid w:val="00EC73FF"/>
    <w:rsid w:val="00ED05D8"/>
    <w:rsid w:val="00ED3B42"/>
    <w:rsid w:val="00ED4BEB"/>
    <w:rsid w:val="00ED6645"/>
    <w:rsid w:val="00ED6B24"/>
    <w:rsid w:val="00EE1257"/>
    <w:rsid w:val="00EE25DC"/>
    <w:rsid w:val="00EE4F53"/>
    <w:rsid w:val="00EF1759"/>
    <w:rsid w:val="00EF1F06"/>
    <w:rsid w:val="00EF4414"/>
    <w:rsid w:val="00EF56B9"/>
    <w:rsid w:val="00EF5C6F"/>
    <w:rsid w:val="00F021DA"/>
    <w:rsid w:val="00F06231"/>
    <w:rsid w:val="00F141A8"/>
    <w:rsid w:val="00F16E0F"/>
    <w:rsid w:val="00F21BED"/>
    <w:rsid w:val="00F2319C"/>
    <w:rsid w:val="00F24143"/>
    <w:rsid w:val="00F306E2"/>
    <w:rsid w:val="00F40500"/>
    <w:rsid w:val="00F4165C"/>
    <w:rsid w:val="00F449C2"/>
    <w:rsid w:val="00F470DA"/>
    <w:rsid w:val="00F50A83"/>
    <w:rsid w:val="00F50E3A"/>
    <w:rsid w:val="00F52200"/>
    <w:rsid w:val="00F568F2"/>
    <w:rsid w:val="00F5766C"/>
    <w:rsid w:val="00F6199E"/>
    <w:rsid w:val="00F66479"/>
    <w:rsid w:val="00F66A52"/>
    <w:rsid w:val="00F674E5"/>
    <w:rsid w:val="00F72C7B"/>
    <w:rsid w:val="00F7698A"/>
    <w:rsid w:val="00F818E9"/>
    <w:rsid w:val="00F87151"/>
    <w:rsid w:val="00F8799B"/>
    <w:rsid w:val="00F9045B"/>
    <w:rsid w:val="00F90F30"/>
    <w:rsid w:val="00F95B60"/>
    <w:rsid w:val="00F96A41"/>
    <w:rsid w:val="00FA1515"/>
    <w:rsid w:val="00FA1F2D"/>
    <w:rsid w:val="00FA6EEF"/>
    <w:rsid w:val="00FA7473"/>
    <w:rsid w:val="00FB352D"/>
    <w:rsid w:val="00FB46A2"/>
    <w:rsid w:val="00FB492D"/>
    <w:rsid w:val="00FB4E86"/>
    <w:rsid w:val="00FC4CB0"/>
    <w:rsid w:val="00FC5DEE"/>
    <w:rsid w:val="00FC62E5"/>
    <w:rsid w:val="00FD0613"/>
    <w:rsid w:val="00FD082B"/>
    <w:rsid w:val="00FD274F"/>
    <w:rsid w:val="00FD552E"/>
    <w:rsid w:val="00FE0D62"/>
    <w:rsid w:val="00FF5258"/>
    <w:rsid w:val="00FF6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52921"/>
  <w15:docId w15:val="{1869A28E-8AA6-4D92-A3A2-AEF93221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277"/>
    <w:rPr>
      <w:sz w:val="28"/>
      <w:szCs w:val="28"/>
    </w:rPr>
  </w:style>
  <w:style w:type="paragraph" w:styleId="Heading2">
    <w:name w:val="heading 2"/>
    <w:basedOn w:val="Normal"/>
    <w:next w:val="Normal"/>
    <w:link w:val="Heading2Char"/>
    <w:qFormat/>
    <w:rsid w:val="00EB540E"/>
    <w:pPr>
      <w:keepNext/>
      <w:jc w:val="center"/>
      <w:outlineLvl w:val="1"/>
    </w:pPr>
    <w:rPr>
      <w:rFonts w:ascii=".VnTime" w:hAnsi=".VnTime"/>
      <w:i/>
      <w:szCs w:val="20"/>
      <w:lang w:val="en-GB"/>
    </w:rPr>
  </w:style>
  <w:style w:type="paragraph" w:styleId="Heading3">
    <w:name w:val="heading 3"/>
    <w:basedOn w:val="Normal"/>
    <w:next w:val="Normal"/>
    <w:link w:val="Heading3Char"/>
    <w:semiHidden/>
    <w:unhideWhenUsed/>
    <w:qFormat/>
    <w:rsid w:val="000C10A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442D2A"/>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qFormat/>
    <w:rsid w:val="00C7592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7574"/>
    <w:rPr>
      <w:rFonts w:ascii="Tahoma" w:hAnsi="Tahoma" w:cs="Tahoma"/>
      <w:sz w:val="16"/>
      <w:szCs w:val="16"/>
    </w:rPr>
  </w:style>
  <w:style w:type="paragraph" w:styleId="NormalWeb">
    <w:name w:val="Normal (Web)"/>
    <w:aliases w:val="Normal (Web) Char1,Char8 Char,Char8,webb,5.1,Car Car,Car Car Car Char Char,Car Car Car Cha,Car Car Car,Char Char Char Char Char Char Char Char Char Char,Normal (Web) Char Char, Char Char25,Char Char25, Char Char Char,Char Char Char, Char8"/>
    <w:basedOn w:val="Normal"/>
    <w:link w:val="NormalWebChar"/>
    <w:autoRedefine/>
    <w:uiPriority w:val="99"/>
    <w:qFormat/>
    <w:rsid w:val="00B633DF"/>
    <w:pPr>
      <w:spacing w:before="120"/>
      <w:ind w:firstLine="540"/>
      <w:jc w:val="both"/>
    </w:pPr>
    <w:rPr>
      <w:bCs/>
    </w:rPr>
  </w:style>
  <w:style w:type="paragraph" w:customStyle="1" w:styleId="Char">
    <w:name w:val="Char"/>
    <w:basedOn w:val="Normal"/>
    <w:rsid w:val="00B633DF"/>
    <w:pPr>
      <w:spacing w:after="160" w:line="240" w:lineRule="exact"/>
    </w:pPr>
    <w:rPr>
      <w:rFonts w:ascii="Verdana" w:eastAsia="MS Mincho" w:hAnsi="Verdana"/>
      <w:sz w:val="20"/>
      <w:szCs w:val="20"/>
    </w:rPr>
  </w:style>
  <w:style w:type="character" w:customStyle="1" w:styleId="Heading2Char">
    <w:name w:val="Heading 2 Char"/>
    <w:basedOn w:val="DefaultParagraphFont"/>
    <w:link w:val="Heading2"/>
    <w:rsid w:val="00EB540E"/>
    <w:rPr>
      <w:rFonts w:ascii=".VnTime" w:hAnsi=".VnTime"/>
      <w:i/>
      <w:sz w:val="28"/>
      <w:lang w:val="en-GB"/>
    </w:rPr>
  </w:style>
  <w:style w:type="character" w:customStyle="1" w:styleId="Heading9Char">
    <w:name w:val="Heading 9 Char"/>
    <w:basedOn w:val="DefaultParagraphFont"/>
    <w:link w:val="Heading9"/>
    <w:rsid w:val="00C75920"/>
    <w:rPr>
      <w:rFonts w:ascii="Arial" w:hAnsi="Arial" w:cs="Arial"/>
      <w:sz w:val="22"/>
      <w:szCs w:val="22"/>
    </w:rPr>
  </w:style>
  <w:style w:type="character" w:styleId="CommentReference">
    <w:name w:val="annotation reference"/>
    <w:basedOn w:val="DefaultParagraphFont"/>
    <w:unhideWhenUsed/>
    <w:rsid w:val="00C75920"/>
    <w:rPr>
      <w:sz w:val="16"/>
      <w:szCs w:val="16"/>
    </w:rPr>
  </w:style>
  <w:style w:type="paragraph" w:styleId="CommentText">
    <w:name w:val="annotation text"/>
    <w:basedOn w:val="Normal"/>
    <w:link w:val="CommentTextChar"/>
    <w:unhideWhenUsed/>
    <w:rsid w:val="00C75920"/>
    <w:rPr>
      <w:sz w:val="20"/>
      <w:szCs w:val="20"/>
    </w:rPr>
  </w:style>
  <w:style w:type="character" w:customStyle="1" w:styleId="CommentTextChar">
    <w:name w:val="Comment Text Char"/>
    <w:basedOn w:val="DefaultParagraphFont"/>
    <w:link w:val="CommentText"/>
    <w:rsid w:val="00C75920"/>
  </w:style>
  <w:style w:type="paragraph" w:styleId="Footer">
    <w:name w:val="footer"/>
    <w:basedOn w:val="Normal"/>
    <w:link w:val="FooterChar"/>
    <w:rsid w:val="00C75920"/>
    <w:pPr>
      <w:tabs>
        <w:tab w:val="center" w:pos="4320"/>
        <w:tab w:val="right" w:pos="8640"/>
      </w:tabs>
    </w:pPr>
  </w:style>
  <w:style w:type="character" w:customStyle="1" w:styleId="FooterChar">
    <w:name w:val="Footer Char"/>
    <w:basedOn w:val="DefaultParagraphFont"/>
    <w:link w:val="Footer"/>
    <w:rsid w:val="00C75920"/>
    <w:rPr>
      <w:sz w:val="28"/>
      <w:szCs w:val="28"/>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C75920"/>
    <w:pPr>
      <w:spacing w:after="160" w:line="240" w:lineRule="exact"/>
    </w:pPr>
    <w:rPr>
      <w:rFonts w:ascii="Arial" w:hAnsi="Arial" w:cs="Arial"/>
      <w:sz w:val="22"/>
      <w:szCs w:val="22"/>
    </w:rPr>
  </w:style>
  <w:style w:type="paragraph" w:styleId="ListParagraph">
    <w:name w:val="List Paragraph"/>
    <w:basedOn w:val="Normal"/>
    <w:qFormat/>
    <w:rsid w:val="00811CF2"/>
    <w:pPr>
      <w:ind w:left="720"/>
      <w:contextualSpacing/>
    </w:pPr>
  </w:style>
  <w:style w:type="character" w:customStyle="1" w:styleId="s1">
    <w:name w:val="s1"/>
    <w:basedOn w:val="DefaultParagraphFont"/>
    <w:rsid w:val="0098343D"/>
  </w:style>
  <w:style w:type="paragraph" w:customStyle="1" w:styleId="p1">
    <w:name w:val="p1"/>
    <w:basedOn w:val="Normal"/>
    <w:rsid w:val="00CA14A0"/>
    <w:pPr>
      <w:spacing w:before="100" w:beforeAutospacing="1" w:after="100" w:afterAutospacing="1"/>
    </w:pPr>
    <w:rPr>
      <w:sz w:val="24"/>
      <w:szCs w:val="24"/>
    </w:rPr>
  </w:style>
  <w:style w:type="character" w:customStyle="1" w:styleId="headsubmitlevel2">
    <w:name w:val="headsubmitlevel2"/>
    <w:basedOn w:val="DefaultParagraphFont"/>
    <w:rsid w:val="00C05866"/>
  </w:style>
  <w:style w:type="character" w:styleId="Emphasis">
    <w:name w:val="Emphasis"/>
    <w:basedOn w:val="DefaultParagraphFont"/>
    <w:uiPriority w:val="20"/>
    <w:qFormat/>
    <w:rsid w:val="00613158"/>
    <w:rPr>
      <w:i/>
      <w:iCs/>
    </w:rPr>
  </w:style>
  <w:style w:type="paragraph" w:customStyle="1" w:styleId="Default">
    <w:name w:val="Default"/>
    <w:rsid w:val="00B51C5D"/>
    <w:pPr>
      <w:autoSpaceDE w:val="0"/>
      <w:autoSpaceDN w:val="0"/>
      <w:adjustRightInd w:val="0"/>
    </w:pPr>
    <w:rPr>
      <w:rFonts w:eastAsiaTheme="minorHAnsi"/>
      <w:color w:val="000000"/>
      <w:sz w:val="24"/>
      <w:szCs w:val="24"/>
    </w:rPr>
  </w:style>
  <w:style w:type="paragraph" w:styleId="FootnoteText">
    <w:name w:val="footnote text"/>
    <w:basedOn w:val="Normal"/>
    <w:link w:val="FootnoteTextChar"/>
    <w:unhideWhenUsed/>
    <w:rsid w:val="006B25D7"/>
    <w:rPr>
      <w:sz w:val="20"/>
      <w:szCs w:val="20"/>
    </w:rPr>
  </w:style>
  <w:style w:type="character" w:customStyle="1" w:styleId="FootnoteTextChar">
    <w:name w:val="Footnote Text Char"/>
    <w:basedOn w:val="DefaultParagraphFont"/>
    <w:link w:val="FootnoteText"/>
    <w:rsid w:val="006B25D7"/>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basedOn w:val="DefaultParagraphFont"/>
    <w:link w:val="RefChar"/>
    <w:unhideWhenUsed/>
    <w:qFormat/>
    <w:rsid w:val="006B25D7"/>
    <w:rPr>
      <w:vertAlign w:val="superscript"/>
    </w:rPr>
  </w:style>
  <w:style w:type="table" w:styleId="TableGridLight">
    <w:name w:val="Grid Table Light"/>
    <w:basedOn w:val="TableNormal"/>
    <w:uiPriority w:val="40"/>
    <w:rsid w:val="00276AE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4B5344"/>
    <w:pPr>
      <w:suppressAutoHyphens/>
      <w:spacing w:after="160" w:line="240" w:lineRule="exact"/>
    </w:pPr>
    <w:rPr>
      <w:sz w:val="20"/>
      <w:szCs w:val="20"/>
      <w:vertAlign w:val="superscript"/>
    </w:rPr>
  </w:style>
  <w:style w:type="paragraph" w:styleId="Header">
    <w:name w:val="header"/>
    <w:basedOn w:val="Normal"/>
    <w:link w:val="HeaderChar"/>
    <w:uiPriority w:val="99"/>
    <w:unhideWhenUsed/>
    <w:rsid w:val="004B5344"/>
    <w:pPr>
      <w:tabs>
        <w:tab w:val="center" w:pos="4680"/>
        <w:tab w:val="right" w:pos="9360"/>
      </w:tabs>
    </w:pPr>
  </w:style>
  <w:style w:type="character" w:customStyle="1" w:styleId="HeaderChar">
    <w:name w:val="Header Char"/>
    <w:basedOn w:val="DefaultParagraphFont"/>
    <w:link w:val="Header"/>
    <w:uiPriority w:val="99"/>
    <w:rsid w:val="004B5344"/>
    <w:rPr>
      <w:sz w:val="28"/>
      <w:szCs w:val="28"/>
    </w:rPr>
  </w:style>
  <w:style w:type="character" w:customStyle="1" w:styleId="Heading3Char">
    <w:name w:val="Heading 3 Char"/>
    <w:basedOn w:val="DefaultParagraphFont"/>
    <w:link w:val="Heading3"/>
    <w:rsid w:val="000C10A7"/>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A30D5B"/>
    <w:rPr>
      <w:sz w:val="28"/>
      <w:szCs w:val="28"/>
    </w:rPr>
  </w:style>
  <w:style w:type="character" w:customStyle="1" w:styleId="NormalWebChar">
    <w:name w:val="Normal (Web) Char"/>
    <w:aliases w:val="Normal (Web) Char1 Char,Char8 Char Char,Char8 Char1,webb Char,5.1 Char,Car Car Char,Car Car Car Char Char Char,Car Car Car Cha Char,Car Car Car Char,Char Char Char Char Char Char Char Char Char Char Char,Normal (Web) Char Char Char"/>
    <w:link w:val="NormalWeb"/>
    <w:uiPriority w:val="99"/>
    <w:qFormat/>
    <w:locked/>
    <w:rsid w:val="002D643D"/>
    <w:rPr>
      <w:bCs/>
      <w:sz w:val="28"/>
      <w:szCs w:val="28"/>
    </w:rPr>
  </w:style>
  <w:style w:type="character" w:customStyle="1" w:styleId="Heading4Char">
    <w:name w:val="Heading 4 Char"/>
    <w:basedOn w:val="DefaultParagraphFont"/>
    <w:link w:val="Heading4"/>
    <w:rsid w:val="00442D2A"/>
    <w:rPr>
      <w:rFonts w:asciiTheme="majorHAnsi" w:eastAsiaTheme="majorEastAsia" w:hAnsiTheme="majorHAnsi" w:cstheme="majorBidi"/>
      <w:i/>
      <w:iCs/>
      <w:color w:val="365F91" w:themeColor="accent1" w:themeShade="BF"/>
      <w:sz w:val="28"/>
      <w:szCs w:val="28"/>
    </w:rPr>
  </w:style>
  <w:style w:type="character" w:customStyle="1" w:styleId="whitespace-normal">
    <w:name w:val="whitespace-normal"/>
    <w:basedOn w:val="DefaultParagraphFont"/>
    <w:rsid w:val="00E14B6B"/>
  </w:style>
  <w:style w:type="paragraph" w:customStyle="1" w:styleId="CharCharCharCharChar">
    <w:name w:val="Char Char Char Char Char"/>
    <w:basedOn w:val="Normal"/>
    <w:rsid w:val="009020B9"/>
    <w:pPr>
      <w:spacing w:after="160" w:line="240" w:lineRule="exact"/>
    </w:pPr>
    <w:rPr>
      <w:rFonts w:ascii="Verdana" w:hAnsi="Verdana"/>
      <w:sz w:val="20"/>
      <w:szCs w:val="20"/>
    </w:rPr>
  </w:style>
  <w:style w:type="paragraph" w:styleId="BodyText">
    <w:name w:val="Body Text"/>
    <w:basedOn w:val="Normal"/>
    <w:link w:val="BodyTextChar"/>
    <w:rsid w:val="004F2F1E"/>
    <w:pPr>
      <w:spacing w:after="120"/>
    </w:pPr>
    <w:rPr>
      <w:sz w:val="24"/>
      <w:szCs w:val="24"/>
    </w:rPr>
  </w:style>
  <w:style w:type="character" w:customStyle="1" w:styleId="BodyTextChar">
    <w:name w:val="Body Text Char"/>
    <w:basedOn w:val="DefaultParagraphFont"/>
    <w:link w:val="BodyText"/>
    <w:rsid w:val="004F2F1E"/>
    <w:rPr>
      <w:sz w:val="24"/>
      <w:szCs w:val="24"/>
    </w:rPr>
  </w:style>
  <w:style w:type="paragraph" w:customStyle="1" w:styleId="isselectedend">
    <w:name w:val="isselectedend"/>
    <w:basedOn w:val="Normal"/>
    <w:rsid w:val="00746C32"/>
    <w:pPr>
      <w:spacing w:before="100" w:beforeAutospacing="1" w:after="100" w:afterAutospacing="1"/>
    </w:pPr>
    <w:rPr>
      <w:sz w:val="24"/>
      <w:szCs w:val="24"/>
    </w:rPr>
  </w:style>
  <w:style w:type="character" w:styleId="Strong">
    <w:name w:val="Strong"/>
    <w:basedOn w:val="DefaultParagraphFont"/>
    <w:uiPriority w:val="22"/>
    <w:qFormat/>
    <w:rsid w:val="00A947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05128">
      <w:bodyDiv w:val="1"/>
      <w:marLeft w:val="0"/>
      <w:marRight w:val="0"/>
      <w:marTop w:val="0"/>
      <w:marBottom w:val="0"/>
      <w:divBdr>
        <w:top w:val="none" w:sz="0" w:space="0" w:color="auto"/>
        <w:left w:val="none" w:sz="0" w:space="0" w:color="auto"/>
        <w:bottom w:val="none" w:sz="0" w:space="0" w:color="auto"/>
        <w:right w:val="none" w:sz="0" w:space="0" w:color="auto"/>
      </w:divBdr>
    </w:div>
    <w:div w:id="234123689">
      <w:bodyDiv w:val="1"/>
      <w:marLeft w:val="0"/>
      <w:marRight w:val="0"/>
      <w:marTop w:val="0"/>
      <w:marBottom w:val="0"/>
      <w:divBdr>
        <w:top w:val="none" w:sz="0" w:space="0" w:color="auto"/>
        <w:left w:val="none" w:sz="0" w:space="0" w:color="auto"/>
        <w:bottom w:val="none" w:sz="0" w:space="0" w:color="auto"/>
        <w:right w:val="none" w:sz="0" w:space="0" w:color="auto"/>
      </w:divBdr>
    </w:div>
    <w:div w:id="387262599">
      <w:bodyDiv w:val="1"/>
      <w:marLeft w:val="0"/>
      <w:marRight w:val="0"/>
      <w:marTop w:val="0"/>
      <w:marBottom w:val="0"/>
      <w:divBdr>
        <w:top w:val="none" w:sz="0" w:space="0" w:color="auto"/>
        <w:left w:val="none" w:sz="0" w:space="0" w:color="auto"/>
        <w:bottom w:val="none" w:sz="0" w:space="0" w:color="auto"/>
        <w:right w:val="none" w:sz="0" w:space="0" w:color="auto"/>
      </w:divBdr>
    </w:div>
    <w:div w:id="398746601">
      <w:bodyDiv w:val="1"/>
      <w:marLeft w:val="0"/>
      <w:marRight w:val="0"/>
      <w:marTop w:val="0"/>
      <w:marBottom w:val="0"/>
      <w:divBdr>
        <w:top w:val="none" w:sz="0" w:space="0" w:color="auto"/>
        <w:left w:val="none" w:sz="0" w:space="0" w:color="auto"/>
        <w:bottom w:val="none" w:sz="0" w:space="0" w:color="auto"/>
        <w:right w:val="none" w:sz="0" w:space="0" w:color="auto"/>
      </w:divBdr>
    </w:div>
    <w:div w:id="433286164">
      <w:bodyDiv w:val="1"/>
      <w:marLeft w:val="0"/>
      <w:marRight w:val="0"/>
      <w:marTop w:val="0"/>
      <w:marBottom w:val="0"/>
      <w:divBdr>
        <w:top w:val="none" w:sz="0" w:space="0" w:color="auto"/>
        <w:left w:val="none" w:sz="0" w:space="0" w:color="auto"/>
        <w:bottom w:val="none" w:sz="0" w:space="0" w:color="auto"/>
        <w:right w:val="none" w:sz="0" w:space="0" w:color="auto"/>
      </w:divBdr>
    </w:div>
    <w:div w:id="483668802">
      <w:bodyDiv w:val="1"/>
      <w:marLeft w:val="0"/>
      <w:marRight w:val="0"/>
      <w:marTop w:val="0"/>
      <w:marBottom w:val="0"/>
      <w:divBdr>
        <w:top w:val="none" w:sz="0" w:space="0" w:color="auto"/>
        <w:left w:val="none" w:sz="0" w:space="0" w:color="auto"/>
        <w:bottom w:val="none" w:sz="0" w:space="0" w:color="auto"/>
        <w:right w:val="none" w:sz="0" w:space="0" w:color="auto"/>
      </w:divBdr>
    </w:div>
    <w:div w:id="614099252">
      <w:bodyDiv w:val="1"/>
      <w:marLeft w:val="0"/>
      <w:marRight w:val="0"/>
      <w:marTop w:val="0"/>
      <w:marBottom w:val="0"/>
      <w:divBdr>
        <w:top w:val="none" w:sz="0" w:space="0" w:color="auto"/>
        <w:left w:val="none" w:sz="0" w:space="0" w:color="auto"/>
        <w:bottom w:val="none" w:sz="0" w:space="0" w:color="auto"/>
        <w:right w:val="none" w:sz="0" w:space="0" w:color="auto"/>
      </w:divBdr>
    </w:div>
    <w:div w:id="765151348">
      <w:bodyDiv w:val="1"/>
      <w:marLeft w:val="0"/>
      <w:marRight w:val="0"/>
      <w:marTop w:val="0"/>
      <w:marBottom w:val="0"/>
      <w:divBdr>
        <w:top w:val="none" w:sz="0" w:space="0" w:color="auto"/>
        <w:left w:val="none" w:sz="0" w:space="0" w:color="auto"/>
        <w:bottom w:val="none" w:sz="0" w:space="0" w:color="auto"/>
        <w:right w:val="none" w:sz="0" w:space="0" w:color="auto"/>
      </w:divBdr>
    </w:div>
    <w:div w:id="810558407">
      <w:bodyDiv w:val="1"/>
      <w:marLeft w:val="0"/>
      <w:marRight w:val="0"/>
      <w:marTop w:val="0"/>
      <w:marBottom w:val="0"/>
      <w:divBdr>
        <w:top w:val="none" w:sz="0" w:space="0" w:color="auto"/>
        <w:left w:val="none" w:sz="0" w:space="0" w:color="auto"/>
        <w:bottom w:val="none" w:sz="0" w:space="0" w:color="auto"/>
        <w:right w:val="none" w:sz="0" w:space="0" w:color="auto"/>
      </w:divBdr>
    </w:div>
    <w:div w:id="814571139">
      <w:bodyDiv w:val="1"/>
      <w:marLeft w:val="0"/>
      <w:marRight w:val="0"/>
      <w:marTop w:val="0"/>
      <w:marBottom w:val="0"/>
      <w:divBdr>
        <w:top w:val="none" w:sz="0" w:space="0" w:color="auto"/>
        <w:left w:val="none" w:sz="0" w:space="0" w:color="auto"/>
        <w:bottom w:val="none" w:sz="0" w:space="0" w:color="auto"/>
        <w:right w:val="none" w:sz="0" w:space="0" w:color="auto"/>
      </w:divBdr>
    </w:div>
    <w:div w:id="862743801">
      <w:bodyDiv w:val="1"/>
      <w:marLeft w:val="0"/>
      <w:marRight w:val="0"/>
      <w:marTop w:val="0"/>
      <w:marBottom w:val="0"/>
      <w:divBdr>
        <w:top w:val="none" w:sz="0" w:space="0" w:color="auto"/>
        <w:left w:val="none" w:sz="0" w:space="0" w:color="auto"/>
        <w:bottom w:val="none" w:sz="0" w:space="0" w:color="auto"/>
        <w:right w:val="none" w:sz="0" w:space="0" w:color="auto"/>
      </w:divBdr>
    </w:div>
    <w:div w:id="1007027593">
      <w:bodyDiv w:val="1"/>
      <w:marLeft w:val="0"/>
      <w:marRight w:val="0"/>
      <w:marTop w:val="0"/>
      <w:marBottom w:val="0"/>
      <w:divBdr>
        <w:top w:val="none" w:sz="0" w:space="0" w:color="auto"/>
        <w:left w:val="none" w:sz="0" w:space="0" w:color="auto"/>
        <w:bottom w:val="none" w:sz="0" w:space="0" w:color="auto"/>
        <w:right w:val="none" w:sz="0" w:space="0" w:color="auto"/>
      </w:divBdr>
    </w:div>
    <w:div w:id="1062485186">
      <w:bodyDiv w:val="1"/>
      <w:marLeft w:val="0"/>
      <w:marRight w:val="0"/>
      <w:marTop w:val="0"/>
      <w:marBottom w:val="0"/>
      <w:divBdr>
        <w:top w:val="none" w:sz="0" w:space="0" w:color="auto"/>
        <w:left w:val="none" w:sz="0" w:space="0" w:color="auto"/>
        <w:bottom w:val="none" w:sz="0" w:space="0" w:color="auto"/>
        <w:right w:val="none" w:sz="0" w:space="0" w:color="auto"/>
      </w:divBdr>
    </w:div>
    <w:div w:id="1066103810">
      <w:bodyDiv w:val="1"/>
      <w:marLeft w:val="0"/>
      <w:marRight w:val="0"/>
      <w:marTop w:val="0"/>
      <w:marBottom w:val="0"/>
      <w:divBdr>
        <w:top w:val="none" w:sz="0" w:space="0" w:color="auto"/>
        <w:left w:val="none" w:sz="0" w:space="0" w:color="auto"/>
        <w:bottom w:val="none" w:sz="0" w:space="0" w:color="auto"/>
        <w:right w:val="none" w:sz="0" w:space="0" w:color="auto"/>
      </w:divBdr>
    </w:div>
    <w:div w:id="1068773131">
      <w:bodyDiv w:val="1"/>
      <w:marLeft w:val="0"/>
      <w:marRight w:val="0"/>
      <w:marTop w:val="0"/>
      <w:marBottom w:val="0"/>
      <w:divBdr>
        <w:top w:val="none" w:sz="0" w:space="0" w:color="auto"/>
        <w:left w:val="none" w:sz="0" w:space="0" w:color="auto"/>
        <w:bottom w:val="none" w:sz="0" w:space="0" w:color="auto"/>
        <w:right w:val="none" w:sz="0" w:space="0" w:color="auto"/>
      </w:divBdr>
    </w:div>
    <w:div w:id="1113599962">
      <w:bodyDiv w:val="1"/>
      <w:marLeft w:val="0"/>
      <w:marRight w:val="0"/>
      <w:marTop w:val="0"/>
      <w:marBottom w:val="0"/>
      <w:divBdr>
        <w:top w:val="none" w:sz="0" w:space="0" w:color="auto"/>
        <w:left w:val="none" w:sz="0" w:space="0" w:color="auto"/>
        <w:bottom w:val="none" w:sz="0" w:space="0" w:color="auto"/>
        <w:right w:val="none" w:sz="0" w:space="0" w:color="auto"/>
      </w:divBdr>
    </w:div>
    <w:div w:id="1124498938">
      <w:bodyDiv w:val="1"/>
      <w:marLeft w:val="0"/>
      <w:marRight w:val="0"/>
      <w:marTop w:val="0"/>
      <w:marBottom w:val="0"/>
      <w:divBdr>
        <w:top w:val="none" w:sz="0" w:space="0" w:color="auto"/>
        <w:left w:val="none" w:sz="0" w:space="0" w:color="auto"/>
        <w:bottom w:val="none" w:sz="0" w:space="0" w:color="auto"/>
        <w:right w:val="none" w:sz="0" w:space="0" w:color="auto"/>
      </w:divBdr>
    </w:div>
    <w:div w:id="1169831584">
      <w:bodyDiv w:val="1"/>
      <w:marLeft w:val="0"/>
      <w:marRight w:val="0"/>
      <w:marTop w:val="0"/>
      <w:marBottom w:val="0"/>
      <w:divBdr>
        <w:top w:val="none" w:sz="0" w:space="0" w:color="auto"/>
        <w:left w:val="none" w:sz="0" w:space="0" w:color="auto"/>
        <w:bottom w:val="none" w:sz="0" w:space="0" w:color="auto"/>
        <w:right w:val="none" w:sz="0" w:space="0" w:color="auto"/>
      </w:divBdr>
    </w:div>
    <w:div w:id="1277326016">
      <w:bodyDiv w:val="1"/>
      <w:marLeft w:val="0"/>
      <w:marRight w:val="0"/>
      <w:marTop w:val="0"/>
      <w:marBottom w:val="0"/>
      <w:divBdr>
        <w:top w:val="none" w:sz="0" w:space="0" w:color="auto"/>
        <w:left w:val="none" w:sz="0" w:space="0" w:color="auto"/>
        <w:bottom w:val="none" w:sz="0" w:space="0" w:color="auto"/>
        <w:right w:val="none" w:sz="0" w:space="0" w:color="auto"/>
      </w:divBdr>
    </w:div>
    <w:div w:id="1324315054">
      <w:bodyDiv w:val="1"/>
      <w:marLeft w:val="0"/>
      <w:marRight w:val="0"/>
      <w:marTop w:val="0"/>
      <w:marBottom w:val="0"/>
      <w:divBdr>
        <w:top w:val="none" w:sz="0" w:space="0" w:color="auto"/>
        <w:left w:val="none" w:sz="0" w:space="0" w:color="auto"/>
        <w:bottom w:val="none" w:sz="0" w:space="0" w:color="auto"/>
        <w:right w:val="none" w:sz="0" w:space="0" w:color="auto"/>
      </w:divBdr>
    </w:div>
    <w:div w:id="1362168411">
      <w:bodyDiv w:val="1"/>
      <w:marLeft w:val="0"/>
      <w:marRight w:val="0"/>
      <w:marTop w:val="0"/>
      <w:marBottom w:val="0"/>
      <w:divBdr>
        <w:top w:val="none" w:sz="0" w:space="0" w:color="auto"/>
        <w:left w:val="none" w:sz="0" w:space="0" w:color="auto"/>
        <w:bottom w:val="none" w:sz="0" w:space="0" w:color="auto"/>
        <w:right w:val="none" w:sz="0" w:space="0" w:color="auto"/>
      </w:divBdr>
    </w:div>
    <w:div w:id="1365331852">
      <w:bodyDiv w:val="1"/>
      <w:marLeft w:val="0"/>
      <w:marRight w:val="0"/>
      <w:marTop w:val="0"/>
      <w:marBottom w:val="0"/>
      <w:divBdr>
        <w:top w:val="none" w:sz="0" w:space="0" w:color="auto"/>
        <w:left w:val="none" w:sz="0" w:space="0" w:color="auto"/>
        <w:bottom w:val="none" w:sz="0" w:space="0" w:color="auto"/>
        <w:right w:val="none" w:sz="0" w:space="0" w:color="auto"/>
      </w:divBdr>
    </w:div>
    <w:div w:id="1367872711">
      <w:bodyDiv w:val="1"/>
      <w:marLeft w:val="0"/>
      <w:marRight w:val="0"/>
      <w:marTop w:val="0"/>
      <w:marBottom w:val="0"/>
      <w:divBdr>
        <w:top w:val="none" w:sz="0" w:space="0" w:color="auto"/>
        <w:left w:val="none" w:sz="0" w:space="0" w:color="auto"/>
        <w:bottom w:val="none" w:sz="0" w:space="0" w:color="auto"/>
        <w:right w:val="none" w:sz="0" w:space="0" w:color="auto"/>
      </w:divBdr>
    </w:div>
    <w:div w:id="1401253436">
      <w:bodyDiv w:val="1"/>
      <w:marLeft w:val="0"/>
      <w:marRight w:val="0"/>
      <w:marTop w:val="0"/>
      <w:marBottom w:val="0"/>
      <w:divBdr>
        <w:top w:val="none" w:sz="0" w:space="0" w:color="auto"/>
        <w:left w:val="none" w:sz="0" w:space="0" w:color="auto"/>
        <w:bottom w:val="none" w:sz="0" w:space="0" w:color="auto"/>
        <w:right w:val="none" w:sz="0" w:space="0" w:color="auto"/>
      </w:divBdr>
    </w:div>
    <w:div w:id="1422142872">
      <w:bodyDiv w:val="1"/>
      <w:marLeft w:val="0"/>
      <w:marRight w:val="0"/>
      <w:marTop w:val="0"/>
      <w:marBottom w:val="0"/>
      <w:divBdr>
        <w:top w:val="none" w:sz="0" w:space="0" w:color="auto"/>
        <w:left w:val="none" w:sz="0" w:space="0" w:color="auto"/>
        <w:bottom w:val="none" w:sz="0" w:space="0" w:color="auto"/>
        <w:right w:val="none" w:sz="0" w:space="0" w:color="auto"/>
      </w:divBdr>
    </w:div>
    <w:div w:id="1428228239">
      <w:bodyDiv w:val="1"/>
      <w:marLeft w:val="0"/>
      <w:marRight w:val="0"/>
      <w:marTop w:val="0"/>
      <w:marBottom w:val="0"/>
      <w:divBdr>
        <w:top w:val="none" w:sz="0" w:space="0" w:color="auto"/>
        <w:left w:val="none" w:sz="0" w:space="0" w:color="auto"/>
        <w:bottom w:val="none" w:sz="0" w:space="0" w:color="auto"/>
        <w:right w:val="none" w:sz="0" w:space="0" w:color="auto"/>
      </w:divBdr>
    </w:div>
    <w:div w:id="1566329704">
      <w:bodyDiv w:val="1"/>
      <w:marLeft w:val="0"/>
      <w:marRight w:val="0"/>
      <w:marTop w:val="0"/>
      <w:marBottom w:val="0"/>
      <w:divBdr>
        <w:top w:val="none" w:sz="0" w:space="0" w:color="auto"/>
        <w:left w:val="none" w:sz="0" w:space="0" w:color="auto"/>
        <w:bottom w:val="none" w:sz="0" w:space="0" w:color="auto"/>
        <w:right w:val="none" w:sz="0" w:space="0" w:color="auto"/>
      </w:divBdr>
    </w:div>
    <w:div w:id="1591045135">
      <w:bodyDiv w:val="1"/>
      <w:marLeft w:val="0"/>
      <w:marRight w:val="0"/>
      <w:marTop w:val="0"/>
      <w:marBottom w:val="0"/>
      <w:divBdr>
        <w:top w:val="none" w:sz="0" w:space="0" w:color="auto"/>
        <w:left w:val="none" w:sz="0" w:space="0" w:color="auto"/>
        <w:bottom w:val="none" w:sz="0" w:space="0" w:color="auto"/>
        <w:right w:val="none" w:sz="0" w:space="0" w:color="auto"/>
      </w:divBdr>
    </w:div>
    <w:div w:id="1635332628">
      <w:bodyDiv w:val="1"/>
      <w:marLeft w:val="0"/>
      <w:marRight w:val="0"/>
      <w:marTop w:val="0"/>
      <w:marBottom w:val="0"/>
      <w:divBdr>
        <w:top w:val="none" w:sz="0" w:space="0" w:color="auto"/>
        <w:left w:val="none" w:sz="0" w:space="0" w:color="auto"/>
        <w:bottom w:val="none" w:sz="0" w:space="0" w:color="auto"/>
        <w:right w:val="none" w:sz="0" w:space="0" w:color="auto"/>
      </w:divBdr>
    </w:div>
    <w:div w:id="1638409635">
      <w:bodyDiv w:val="1"/>
      <w:marLeft w:val="0"/>
      <w:marRight w:val="0"/>
      <w:marTop w:val="0"/>
      <w:marBottom w:val="0"/>
      <w:divBdr>
        <w:top w:val="none" w:sz="0" w:space="0" w:color="auto"/>
        <w:left w:val="none" w:sz="0" w:space="0" w:color="auto"/>
        <w:bottom w:val="none" w:sz="0" w:space="0" w:color="auto"/>
        <w:right w:val="none" w:sz="0" w:space="0" w:color="auto"/>
      </w:divBdr>
    </w:div>
    <w:div w:id="1683311941">
      <w:bodyDiv w:val="1"/>
      <w:marLeft w:val="0"/>
      <w:marRight w:val="0"/>
      <w:marTop w:val="0"/>
      <w:marBottom w:val="0"/>
      <w:divBdr>
        <w:top w:val="none" w:sz="0" w:space="0" w:color="auto"/>
        <w:left w:val="none" w:sz="0" w:space="0" w:color="auto"/>
        <w:bottom w:val="none" w:sz="0" w:space="0" w:color="auto"/>
        <w:right w:val="none" w:sz="0" w:space="0" w:color="auto"/>
      </w:divBdr>
    </w:div>
    <w:div w:id="1703624985">
      <w:bodyDiv w:val="1"/>
      <w:marLeft w:val="0"/>
      <w:marRight w:val="0"/>
      <w:marTop w:val="0"/>
      <w:marBottom w:val="0"/>
      <w:divBdr>
        <w:top w:val="none" w:sz="0" w:space="0" w:color="auto"/>
        <w:left w:val="none" w:sz="0" w:space="0" w:color="auto"/>
        <w:bottom w:val="none" w:sz="0" w:space="0" w:color="auto"/>
        <w:right w:val="none" w:sz="0" w:space="0" w:color="auto"/>
      </w:divBdr>
    </w:div>
    <w:div w:id="1978487055">
      <w:bodyDiv w:val="1"/>
      <w:marLeft w:val="0"/>
      <w:marRight w:val="0"/>
      <w:marTop w:val="0"/>
      <w:marBottom w:val="0"/>
      <w:divBdr>
        <w:top w:val="none" w:sz="0" w:space="0" w:color="auto"/>
        <w:left w:val="none" w:sz="0" w:space="0" w:color="auto"/>
        <w:bottom w:val="none" w:sz="0" w:space="0" w:color="auto"/>
        <w:right w:val="none" w:sz="0" w:space="0" w:color="auto"/>
      </w:divBdr>
    </w:div>
    <w:div w:id="2086218968">
      <w:bodyDiv w:val="1"/>
      <w:marLeft w:val="0"/>
      <w:marRight w:val="0"/>
      <w:marTop w:val="0"/>
      <w:marBottom w:val="0"/>
      <w:divBdr>
        <w:top w:val="none" w:sz="0" w:space="0" w:color="auto"/>
        <w:left w:val="none" w:sz="0" w:space="0" w:color="auto"/>
        <w:bottom w:val="none" w:sz="0" w:space="0" w:color="auto"/>
        <w:right w:val="none" w:sz="0" w:space="0" w:color="auto"/>
      </w:divBdr>
    </w:div>
    <w:div w:id="20866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89E79-D1C4-4F85-8005-6FD7C67E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17</Pages>
  <Words>6098</Words>
  <Characters>34763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VĂN PHÒNG CHÍNH PHỦ</vt:lpstr>
    </vt:vector>
  </TitlesOfParts>
  <Company>ISA Corp.</Company>
  <LinksUpToDate>false</LinksUpToDate>
  <CharactersWithSpaces>40780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CHÍNH PHỦ</dc:title>
  <dc:subject/>
  <dc:creator>NDL</dc:creator>
  <cp:keywords/>
  <dc:description/>
  <cp:lastModifiedBy>hp</cp:lastModifiedBy>
  <cp:revision>29</cp:revision>
  <cp:lastPrinted>2025-05-27T06:53:00Z</cp:lastPrinted>
  <dcterms:created xsi:type="dcterms:W3CDTF">2026-05-13T08:52:00Z</dcterms:created>
  <dcterms:modified xsi:type="dcterms:W3CDTF">2026-07-22T06:59:00Z</dcterms:modified>
</cp:coreProperties>
</file>